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55" w:rsidRDefault="00111F55" w:rsidP="00722C14">
      <w:pPr>
        <w:pStyle w:val="1"/>
        <w:keepNext w:val="0"/>
        <w:keepLines w:val="0"/>
      </w:pPr>
      <w:bookmarkStart w:id="0" w:name="_GoBack"/>
      <w:bookmarkEnd w:id="0"/>
      <w:r>
        <w:rPr>
          <w:rtl/>
        </w:rPr>
        <w:t>טיוטת תקנות</w:t>
      </w:r>
    </w:p>
    <w:p w:rsidR="00111F55" w:rsidRDefault="00111F55" w:rsidP="00722C14">
      <w:pPr>
        <w:rPr>
          <w:rtl/>
        </w:rPr>
      </w:pPr>
    </w:p>
    <w:p w:rsidR="00111F55" w:rsidRDefault="00111F55" w:rsidP="00F24A78">
      <w:pPr>
        <w:pStyle w:val="4"/>
        <w:rPr>
          <w:rtl/>
        </w:rPr>
      </w:pPr>
      <w:r>
        <w:rPr>
          <w:rFonts w:hint="cs"/>
          <w:rtl/>
        </w:rPr>
        <w:t>שם התקנות המוצעות</w:t>
      </w:r>
    </w:p>
    <w:p w:rsidR="00111F55" w:rsidRDefault="00111F55" w:rsidP="005A1DFE">
      <w:r w:rsidRPr="00C277D6">
        <w:rPr>
          <w:rFonts w:hint="cs"/>
          <w:color w:val="000000" w:themeColor="text1"/>
          <w:sz w:val="26"/>
          <w:szCs w:val="26"/>
          <w:rtl/>
        </w:rPr>
        <w:t>תקנות הבטיחות בעבודה (עבודות בנייה)</w:t>
      </w:r>
      <w:r w:rsidR="005A1DFE">
        <w:rPr>
          <w:rFonts w:hint="cs"/>
          <w:color w:val="000000" w:themeColor="text1"/>
          <w:sz w:val="26"/>
          <w:szCs w:val="26"/>
          <w:rtl/>
        </w:rPr>
        <w:t xml:space="preserve"> (תיקון)</w:t>
      </w:r>
      <w:r w:rsidRPr="00C277D6">
        <w:rPr>
          <w:rFonts w:hint="cs"/>
          <w:color w:val="000000" w:themeColor="text1"/>
          <w:sz w:val="26"/>
          <w:szCs w:val="26"/>
          <w:rtl/>
        </w:rPr>
        <w:t xml:space="preserve">, </w:t>
      </w:r>
      <w:proofErr w:type="spellStart"/>
      <w:r w:rsidR="005A1DFE">
        <w:rPr>
          <w:rFonts w:hint="cs"/>
          <w:color w:val="000000" w:themeColor="text1"/>
          <w:sz w:val="26"/>
          <w:szCs w:val="26"/>
          <w:rtl/>
        </w:rPr>
        <w:t>התש"ף</w:t>
      </w:r>
      <w:proofErr w:type="spellEnd"/>
      <w:r w:rsidR="005A1DFE">
        <w:rPr>
          <w:rFonts w:hint="cs"/>
          <w:color w:val="000000" w:themeColor="text1"/>
          <w:sz w:val="26"/>
          <w:szCs w:val="26"/>
          <w:rtl/>
        </w:rPr>
        <w:t xml:space="preserve"> - 2020</w:t>
      </w:r>
      <w:r>
        <w:rPr>
          <w:rFonts w:hint="cs"/>
          <w:color w:val="000000" w:themeColor="text1"/>
          <w:sz w:val="26"/>
          <w:szCs w:val="26"/>
          <w:rtl/>
        </w:rPr>
        <w:t>.</w:t>
      </w:r>
    </w:p>
    <w:p w:rsidR="00111F55" w:rsidRDefault="00111F55" w:rsidP="00722C14">
      <w:pPr>
        <w:rPr>
          <w:rtl/>
        </w:rPr>
      </w:pPr>
    </w:p>
    <w:p w:rsidR="00111F55" w:rsidRDefault="00111F55" w:rsidP="00722C14">
      <w:pPr>
        <w:rPr>
          <w:rtl/>
        </w:rPr>
      </w:pPr>
    </w:p>
    <w:p w:rsidR="00111F55" w:rsidRDefault="00111F55" w:rsidP="0092698E">
      <w:pPr>
        <w:pStyle w:val="4"/>
        <w:rPr>
          <w:b w:val="0"/>
          <w:bCs w:val="0"/>
          <w:szCs w:val="24"/>
          <w:rtl/>
        </w:rPr>
      </w:pPr>
      <w:r>
        <w:rPr>
          <w:rFonts w:hint="cs"/>
          <w:rtl/>
        </w:rPr>
        <w:t xml:space="preserve">מטרת התקנות המוצעות והצורך בהן </w:t>
      </w:r>
    </w:p>
    <w:p w:rsidR="0021150F" w:rsidRDefault="007F68A5" w:rsidP="00913413">
      <w:r>
        <w:rPr>
          <w:rFonts w:hint="cs"/>
          <w:rtl/>
        </w:rPr>
        <w:t xml:space="preserve">ביום 27.1.2019 פורסמו ברשומות תקנות הבטיחות בעבודה (עבודות בנייה) (תיקון), </w:t>
      </w:r>
      <w:proofErr w:type="spellStart"/>
      <w:r>
        <w:rPr>
          <w:rFonts w:hint="cs"/>
          <w:rtl/>
        </w:rPr>
        <w:t>התשע"ט</w:t>
      </w:r>
      <w:proofErr w:type="spellEnd"/>
      <w:r>
        <w:rPr>
          <w:rFonts w:hint="cs"/>
          <w:rtl/>
        </w:rPr>
        <w:t xml:space="preserve"> </w:t>
      </w:r>
      <w:r>
        <w:rPr>
          <w:rtl/>
        </w:rPr>
        <w:t>–</w:t>
      </w:r>
      <w:r>
        <w:rPr>
          <w:rFonts w:hint="cs"/>
          <w:rtl/>
        </w:rPr>
        <w:t xml:space="preserve"> 2019, במסגרתן, הוסדרה בין היתר, חובת מבצע הבנייה לעשות שימוש בפיגומים </w:t>
      </w:r>
      <w:proofErr w:type="spellStart"/>
      <w:r>
        <w:rPr>
          <w:rFonts w:hint="cs"/>
          <w:rtl/>
        </w:rPr>
        <w:t>זקפים</w:t>
      </w:r>
      <w:proofErr w:type="spellEnd"/>
      <w:r>
        <w:rPr>
          <w:rFonts w:hint="cs"/>
          <w:rtl/>
        </w:rPr>
        <w:t xml:space="preserve"> העומד בדרישות תקן ישראלי ת"י 1139 חלק 1 פיגומים : דרישות תפקוד ותכן כללי</w:t>
      </w:r>
      <w:r w:rsidR="00302987">
        <w:rPr>
          <w:rFonts w:hint="cs"/>
          <w:rtl/>
        </w:rPr>
        <w:t xml:space="preserve"> (להלן </w:t>
      </w:r>
      <w:r w:rsidR="00302987">
        <w:rPr>
          <w:rtl/>
        </w:rPr>
        <w:t>–</w:t>
      </w:r>
      <w:r w:rsidR="00302987">
        <w:rPr>
          <w:rFonts w:hint="cs"/>
          <w:rtl/>
        </w:rPr>
        <w:t xml:space="preserve"> התקן)</w:t>
      </w:r>
      <w:r>
        <w:rPr>
          <w:rFonts w:hint="cs"/>
          <w:rtl/>
        </w:rPr>
        <w:t>.  חובה זו הוחלה על מבצעי הבנייה באופן הדרגתי, ב- 3 פעימות</w:t>
      </w:r>
      <w:r w:rsidR="0021150F" w:rsidRPr="0021150F">
        <w:rPr>
          <w:rFonts w:hint="cs"/>
          <w:rtl/>
        </w:rPr>
        <w:t xml:space="preserve"> אשר נקבעו במסגרת</w:t>
      </w:r>
      <w:r w:rsidR="0021150F">
        <w:rPr>
          <w:rFonts w:hint="cs"/>
          <w:rtl/>
        </w:rPr>
        <w:t xml:space="preserve"> תקנה 19 (ב): הראשונה (לגבי פיגומי </w:t>
      </w:r>
      <w:proofErr w:type="spellStart"/>
      <w:r w:rsidR="0021150F">
        <w:rPr>
          <w:rFonts w:hint="cs"/>
          <w:rtl/>
        </w:rPr>
        <w:t>זקפים</w:t>
      </w:r>
      <w:proofErr w:type="spellEnd"/>
      <w:r w:rsidR="0021150F">
        <w:rPr>
          <w:rFonts w:hint="cs"/>
          <w:rtl/>
        </w:rPr>
        <w:t xml:space="preserve"> שגובהם מעל ל- </w:t>
      </w:r>
      <w:r w:rsidR="00913413">
        <w:rPr>
          <w:rFonts w:hint="cs"/>
          <w:rtl/>
        </w:rPr>
        <w:t>30</w:t>
      </w:r>
      <w:r w:rsidR="0021150F">
        <w:rPr>
          <w:rFonts w:hint="cs"/>
          <w:rtl/>
        </w:rPr>
        <w:t xml:space="preserve"> מטרים)  </w:t>
      </w:r>
      <w:r w:rsidR="00460AA6">
        <w:rPr>
          <w:rFonts w:hint="cs"/>
          <w:rtl/>
        </w:rPr>
        <w:t xml:space="preserve">- </w:t>
      </w:r>
      <w:r w:rsidR="0021150F">
        <w:rPr>
          <w:rFonts w:hint="cs"/>
          <w:rtl/>
        </w:rPr>
        <w:t>6</w:t>
      </w:r>
      <w:r w:rsidR="00460AA6">
        <w:rPr>
          <w:rFonts w:hint="cs"/>
          <w:rtl/>
        </w:rPr>
        <w:t xml:space="preserve"> </w:t>
      </w:r>
      <w:r w:rsidR="0021150F">
        <w:rPr>
          <w:rFonts w:hint="cs"/>
          <w:rtl/>
        </w:rPr>
        <w:t xml:space="preserve"> חודשים ממועד פרסום התקנות, השנייה (לגבי פיגומי </w:t>
      </w:r>
      <w:proofErr w:type="spellStart"/>
      <w:r w:rsidR="0021150F">
        <w:rPr>
          <w:rFonts w:hint="cs"/>
          <w:rtl/>
        </w:rPr>
        <w:t>זקפים</w:t>
      </w:r>
      <w:proofErr w:type="spellEnd"/>
      <w:r w:rsidR="0021150F">
        <w:rPr>
          <w:rFonts w:hint="cs"/>
          <w:rtl/>
        </w:rPr>
        <w:t xml:space="preserve"> שגובהם מעל ל- 8 מטרים) </w:t>
      </w:r>
      <w:r w:rsidR="0021150F">
        <w:rPr>
          <w:rtl/>
        </w:rPr>
        <w:t>–</w:t>
      </w:r>
      <w:r w:rsidR="0021150F">
        <w:rPr>
          <w:rFonts w:hint="cs"/>
          <w:rtl/>
        </w:rPr>
        <w:t xml:space="preserve">18 חודשים מיום פרסומן והשלישית (לגבי פיגומי </w:t>
      </w:r>
      <w:proofErr w:type="spellStart"/>
      <w:r w:rsidR="0021150F">
        <w:rPr>
          <w:rFonts w:hint="cs"/>
          <w:rtl/>
        </w:rPr>
        <w:t>זקפים</w:t>
      </w:r>
      <w:proofErr w:type="spellEnd"/>
      <w:r w:rsidR="0021150F">
        <w:rPr>
          <w:rFonts w:hint="cs"/>
          <w:rtl/>
        </w:rPr>
        <w:t xml:space="preserve"> שגובהם מתחת ל- 8 מטרים) - 36 חודשים ממועד הפרסום. </w:t>
      </w:r>
    </w:p>
    <w:p w:rsidR="00111F55" w:rsidRDefault="007F68A5" w:rsidP="007F68A5">
      <w:pPr>
        <w:rPr>
          <w:rtl/>
        </w:rPr>
      </w:pPr>
      <w:r>
        <w:rPr>
          <w:rFonts w:hint="cs"/>
          <w:rtl/>
        </w:rPr>
        <w:t xml:space="preserve"> </w:t>
      </w:r>
    </w:p>
    <w:p w:rsidR="00E937EF" w:rsidRDefault="007F68A5" w:rsidP="00081A0F">
      <w:pPr>
        <w:rPr>
          <w:rtl/>
        </w:rPr>
      </w:pPr>
      <w:r>
        <w:rPr>
          <w:rFonts w:hint="cs"/>
          <w:rtl/>
        </w:rPr>
        <w:t xml:space="preserve">מטרת תקנות אלה היא לדחות את יישום החובה </w:t>
      </w:r>
      <w:r w:rsidRPr="0021150F">
        <w:rPr>
          <w:rFonts w:hint="cs"/>
          <w:rtl/>
        </w:rPr>
        <w:t xml:space="preserve">לגבי </w:t>
      </w:r>
      <w:r w:rsidR="0021150F">
        <w:rPr>
          <w:rFonts w:hint="cs"/>
          <w:rtl/>
        </w:rPr>
        <w:t xml:space="preserve">הפעימה </w:t>
      </w:r>
      <w:r w:rsidR="004310DD">
        <w:rPr>
          <w:rFonts w:hint="cs"/>
          <w:rtl/>
        </w:rPr>
        <w:t>ה</w:t>
      </w:r>
      <w:r w:rsidR="0021150F">
        <w:rPr>
          <w:rFonts w:hint="cs"/>
          <w:rtl/>
        </w:rPr>
        <w:t xml:space="preserve">שנייה. </w:t>
      </w:r>
      <w:r w:rsidR="00594147">
        <w:rPr>
          <w:rFonts w:hint="cs"/>
          <w:rtl/>
        </w:rPr>
        <w:t>משך הדחייה המבוקש הוא ל</w:t>
      </w:r>
      <w:r>
        <w:rPr>
          <w:rFonts w:hint="cs"/>
          <w:rtl/>
        </w:rPr>
        <w:t xml:space="preserve">שנים עשר חודשים </w:t>
      </w:r>
      <w:r w:rsidR="0065755B">
        <w:rPr>
          <w:rFonts w:hint="cs"/>
          <w:rtl/>
        </w:rPr>
        <w:t xml:space="preserve"> נוספים</w:t>
      </w:r>
      <w:r>
        <w:rPr>
          <w:rFonts w:hint="cs"/>
          <w:rtl/>
        </w:rPr>
        <w:t xml:space="preserve">. </w:t>
      </w:r>
      <w:r w:rsidR="00E937EF">
        <w:rPr>
          <w:rFonts w:hint="cs"/>
          <w:rtl/>
        </w:rPr>
        <w:t xml:space="preserve"> בנוסף,</w:t>
      </w:r>
      <w:r w:rsidR="00081A0F">
        <w:rPr>
          <w:rFonts w:hint="cs"/>
          <w:rtl/>
        </w:rPr>
        <w:t xml:space="preserve"> מוצע </w:t>
      </w:r>
      <w:r w:rsidR="00E937EF">
        <w:rPr>
          <w:rFonts w:hint="cs"/>
          <w:rtl/>
        </w:rPr>
        <w:t xml:space="preserve"> </w:t>
      </w:r>
      <w:r w:rsidR="00081A0F">
        <w:rPr>
          <w:rFonts w:hint="cs"/>
          <w:rtl/>
        </w:rPr>
        <w:t xml:space="preserve">לקבוע, כהוראת שעה,  כי אף לגבי </w:t>
      </w:r>
      <w:r w:rsidR="00E937EF">
        <w:rPr>
          <w:rFonts w:hint="cs"/>
          <w:rtl/>
        </w:rPr>
        <w:t xml:space="preserve">הפעימה </w:t>
      </w:r>
      <w:r w:rsidR="003D0BD5">
        <w:rPr>
          <w:rFonts w:hint="cs"/>
          <w:rtl/>
        </w:rPr>
        <w:t>הראשונה</w:t>
      </w:r>
      <w:r w:rsidR="00081A0F">
        <w:rPr>
          <w:rFonts w:hint="cs"/>
          <w:rtl/>
        </w:rPr>
        <w:t xml:space="preserve"> </w:t>
      </w:r>
      <w:r w:rsidR="00081A0F">
        <w:rPr>
          <w:rtl/>
        </w:rPr>
        <w:t>–</w:t>
      </w:r>
      <w:r w:rsidR="00081A0F">
        <w:rPr>
          <w:rFonts w:hint="cs"/>
          <w:rtl/>
        </w:rPr>
        <w:t xml:space="preserve"> לא תחול החובה לעמוד בדרישות המפורטות בתקנה 34 למשך תקופה של שנה. </w:t>
      </w:r>
      <w:r w:rsidR="00E937EF">
        <w:rPr>
          <w:rFonts w:hint="cs"/>
          <w:rtl/>
        </w:rPr>
        <w:t xml:space="preserve"> </w:t>
      </w:r>
    </w:p>
    <w:p w:rsidR="007F68A5" w:rsidRDefault="004310DD" w:rsidP="00E937EF">
      <w:pPr>
        <w:rPr>
          <w:rtl/>
        </w:rPr>
      </w:pPr>
      <w:r>
        <w:rPr>
          <w:rFonts w:hint="cs"/>
          <w:rtl/>
        </w:rPr>
        <w:t>תקופ</w:t>
      </w:r>
      <w:r w:rsidR="00D44467">
        <w:rPr>
          <w:rFonts w:hint="cs"/>
          <w:rtl/>
        </w:rPr>
        <w:t>ה</w:t>
      </w:r>
      <w:r>
        <w:rPr>
          <w:rFonts w:hint="cs"/>
          <w:rtl/>
        </w:rPr>
        <w:t xml:space="preserve"> זו נדרשת לצורך השלמת ההערכות של מכון התקנים וגורמי השטח השונים.</w:t>
      </w:r>
    </w:p>
    <w:p w:rsidR="00302987" w:rsidRDefault="00302987" w:rsidP="0021150F">
      <w:pPr>
        <w:rPr>
          <w:rtl/>
        </w:rPr>
      </w:pPr>
    </w:p>
    <w:p w:rsidR="007F68A5" w:rsidRDefault="007F68A5" w:rsidP="004310DD">
      <w:pPr>
        <w:rPr>
          <w:rtl/>
        </w:rPr>
      </w:pPr>
    </w:p>
    <w:p w:rsidR="00302987" w:rsidRDefault="00302987" w:rsidP="00302987">
      <w:pPr>
        <w:rPr>
          <w:rtl/>
        </w:rPr>
      </w:pPr>
    </w:p>
    <w:p w:rsidR="00111F55" w:rsidRDefault="00111F55" w:rsidP="00722C14">
      <w:pPr>
        <w:rPr>
          <w:rtl/>
        </w:rPr>
      </w:pPr>
    </w:p>
    <w:p w:rsidR="00111F55" w:rsidRDefault="00111F55" w:rsidP="00F24A78">
      <w:pPr>
        <w:pStyle w:val="4"/>
      </w:pPr>
      <w:r>
        <w:rPr>
          <w:rFonts w:hint="cs"/>
          <w:rtl/>
        </w:rPr>
        <w:t xml:space="preserve">להלן נוסח טיוטת התקנות המוצעות: </w:t>
      </w:r>
    </w:p>
    <w:p w:rsidR="00111F55" w:rsidRPr="0056629D" w:rsidRDefault="00111F55" w:rsidP="00722C14">
      <w:pPr>
        <w:bidi w:val="0"/>
        <w:rPr>
          <w:rFonts w:asciiTheme="minorHAnsi" w:hAnsiTheme="minorHAnsi"/>
        </w:rPr>
      </w:pPr>
      <w:r>
        <w:rPr>
          <w:rtl/>
        </w:rPr>
        <w:br w:type="page"/>
      </w:r>
    </w:p>
    <w:p w:rsidR="00111F55" w:rsidRDefault="00111F55" w:rsidP="00111F55">
      <w:pPr>
        <w:pStyle w:val="HeadMitparsemetBaze"/>
        <w:keepNext w:val="0"/>
        <w:keepLines w:val="0"/>
        <w:pageBreakBefore w:val="0"/>
        <w:rPr>
          <w:rtl/>
        </w:rPr>
      </w:pPr>
      <w:r>
        <w:rPr>
          <w:rtl/>
        </w:rPr>
        <w:lastRenderedPageBreak/>
        <w:t>טיוטת תקנות מטעם משרד</w:t>
      </w:r>
      <w:r>
        <w:rPr>
          <w:rFonts w:hint="cs"/>
          <w:rtl/>
        </w:rPr>
        <w:t xml:space="preserve"> העבודה הרווחה והשירותים החברתיים</w:t>
      </w:r>
      <w:r>
        <w:rPr>
          <w:rtl/>
        </w:rPr>
        <w:t xml:space="preserve">: </w:t>
      </w:r>
    </w:p>
    <w:p w:rsidR="00111F55" w:rsidRDefault="00111F55" w:rsidP="007E7AA4">
      <w:pPr>
        <w:pStyle w:val="HeadHatzaotHok"/>
        <w:keepNext w:val="0"/>
        <w:keepLines w:val="0"/>
        <w:rPr>
          <w:rtl/>
        </w:rPr>
      </w:pPr>
      <w:r>
        <w:rPr>
          <w:rtl/>
        </w:rPr>
        <w:t xml:space="preserve">טיוטת תקנות </w:t>
      </w:r>
      <w:r w:rsidR="001E511A">
        <w:rPr>
          <w:rtl/>
        </w:rPr>
        <w:t xml:space="preserve">טיוטת תקנות </w:t>
      </w:r>
      <w:r w:rsidR="001E511A">
        <w:rPr>
          <w:rFonts w:hint="cs"/>
          <w:rtl/>
        </w:rPr>
        <w:t>הבטיחות בעבודה (עבודות בניה</w:t>
      </w:r>
      <w:r w:rsidR="001E511A" w:rsidRPr="001D012A">
        <w:rPr>
          <w:rFonts w:hint="cs"/>
          <w:rtl/>
        </w:rPr>
        <w:t>)</w:t>
      </w:r>
      <w:r w:rsidR="001E511A">
        <w:rPr>
          <w:rtl/>
        </w:rPr>
        <w:t xml:space="preserve"> </w:t>
      </w:r>
      <w:r>
        <w:rPr>
          <w:rtl/>
        </w:rPr>
        <w:t>(תיקון)</w:t>
      </w:r>
      <w:r w:rsidR="007E7AA4">
        <w:rPr>
          <w:rFonts w:hint="cs"/>
          <w:rtl/>
        </w:rPr>
        <w:t xml:space="preserve">, </w:t>
      </w:r>
      <w:proofErr w:type="spellStart"/>
      <w:r w:rsidR="007E7AA4">
        <w:rPr>
          <w:rFonts w:hint="cs"/>
          <w:rtl/>
        </w:rPr>
        <w:t>התש"ף</w:t>
      </w:r>
      <w:proofErr w:type="spellEnd"/>
      <w:r w:rsidR="007E7AA4">
        <w:rPr>
          <w:rFonts w:hint="cs"/>
          <w:rtl/>
        </w:rPr>
        <w:t xml:space="preserve"> - 2020</w:t>
      </w:r>
      <w:r w:rsidR="001E511A">
        <w:rPr>
          <w:rFonts w:hint="cs"/>
          <w:rtl/>
        </w:rPr>
        <w:t>.</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111F55" w:rsidTr="004310DD">
        <w:trPr>
          <w:cantSplit/>
          <w:trHeight w:val="60"/>
        </w:trPr>
        <w:tc>
          <w:tcPr>
            <w:tcW w:w="1871" w:type="dxa"/>
            <w:tcBorders>
              <w:bottom w:val="single" w:sz="4" w:space="0" w:color="auto"/>
            </w:tcBorders>
          </w:tcPr>
          <w:p w:rsidR="00111F55" w:rsidRDefault="00111F55">
            <w:pPr>
              <w:pStyle w:val="TableSideHeading"/>
              <w:rPr>
                <w:rtl/>
              </w:rPr>
            </w:pPr>
          </w:p>
        </w:tc>
        <w:tc>
          <w:tcPr>
            <w:tcW w:w="624" w:type="dxa"/>
            <w:tcBorders>
              <w:bottom w:val="single" w:sz="4" w:space="0" w:color="auto"/>
            </w:tcBorders>
          </w:tcPr>
          <w:p w:rsidR="00111F55" w:rsidRDefault="00111F55">
            <w:pPr>
              <w:pStyle w:val="TableText"/>
            </w:pPr>
          </w:p>
        </w:tc>
        <w:tc>
          <w:tcPr>
            <w:tcW w:w="7146" w:type="dxa"/>
            <w:tcBorders>
              <w:bottom w:val="single" w:sz="4" w:space="0" w:color="auto"/>
            </w:tcBorders>
            <w:hideMark/>
          </w:tcPr>
          <w:p w:rsidR="00111F55" w:rsidRPr="001E511A" w:rsidRDefault="001E511A" w:rsidP="006E3836">
            <w:pPr>
              <w:pStyle w:val="TableBlock"/>
              <w:rPr>
                <w:sz w:val="26"/>
              </w:rPr>
            </w:pPr>
            <w:r w:rsidRPr="001E511A">
              <w:rPr>
                <w:rFonts w:ascii="David" w:eastAsiaTheme="minorHAnsi" w:hAnsi="David"/>
                <w:snapToGrid/>
                <w:sz w:val="26"/>
                <w:rtl/>
              </w:rPr>
              <w:t xml:space="preserve">בתוקף סמכותי </w:t>
            </w:r>
            <w:r w:rsidRPr="001E511A">
              <w:rPr>
                <w:rFonts w:ascii="David" w:eastAsiaTheme="minorHAnsi" w:hAnsi="David" w:hint="cs"/>
                <w:snapToGrid/>
                <w:sz w:val="26"/>
                <w:rtl/>
              </w:rPr>
              <w:t>לפי סעיף 173</w:t>
            </w:r>
            <w:r w:rsidR="00914A19">
              <w:rPr>
                <w:rFonts w:ascii="David" w:eastAsiaTheme="minorHAnsi" w:hAnsi="David" w:hint="cs"/>
                <w:snapToGrid/>
                <w:sz w:val="26"/>
                <w:rtl/>
              </w:rPr>
              <w:t>, 173א, 173ב</w:t>
            </w:r>
            <w:r w:rsidR="00FA1BCA">
              <w:rPr>
                <w:rFonts w:ascii="David" w:eastAsiaTheme="minorHAnsi" w:hAnsi="David" w:hint="cs"/>
                <w:snapToGrid/>
                <w:sz w:val="26"/>
                <w:rtl/>
              </w:rPr>
              <w:t xml:space="preserve"> ו-216</w:t>
            </w:r>
            <w:r w:rsidRPr="001E511A">
              <w:rPr>
                <w:rFonts w:ascii="David" w:eastAsiaTheme="minorHAnsi" w:hAnsi="David" w:hint="cs"/>
                <w:snapToGrid/>
                <w:sz w:val="26"/>
                <w:rtl/>
              </w:rPr>
              <w:t xml:space="preserve"> לפקודת הבטיחות בעבודה [נוסח חדש], התש"ל-1970</w:t>
            </w:r>
            <w:r w:rsidRPr="001E511A">
              <w:rPr>
                <w:rFonts w:ascii="David" w:eastAsiaTheme="minorHAnsi" w:hAnsi="David"/>
                <w:snapToGrid/>
                <w:sz w:val="26"/>
                <w:vertAlign w:val="superscript"/>
                <w:rtl/>
              </w:rPr>
              <w:footnoteReference w:id="1"/>
            </w:r>
            <w:r w:rsidR="008D74FD">
              <w:rPr>
                <w:rFonts w:ascii="David" w:eastAsiaTheme="minorHAnsi" w:hAnsi="David" w:hint="cs"/>
                <w:snapToGrid/>
                <w:sz w:val="26"/>
                <w:rtl/>
              </w:rPr>
              <w:t xml:space="preserve">, </w:t>
            </w:r>
            <w:r w:rsidRPr="001E511A">
              <w:rPr>
                <w:rFonts w:ascii="David" w:eastAsiaTheme="minorHAnsi" w:hAnsi="David" w:hint="cs"/>
                <w:snapToGrid/>
                <w:sz w:val="26"/>
                <w:rtl/>
              </w:rPr>
              <w:t xml:space="preserve">בהתייעצות עם ארגון העובדים המייצג את המספר הגדול ביותר של עובדים במדינה וארגוני מעבידים שלדעתי הם יציגים ונוגעים בדבר, ובאישור ועדת העבודה, הרווחה והבריאות של הכנסת, </w:t>
            </w:r>
            <w:r w:rsidRPr="001E511A">
              <w:rPr>
                <w:rFonts w:ascii="David" w:eastAsiaTheme="minorHAnsi" w:hAnsi="David"/>
                <w:snapToGrid/>
                <w:sz w:val="26"/>
                <w:rtl/>
              </w:rPr>
              <w:t>א</w:t>
            </w:r>
            <w:r w:rsidRPr="001E511A">
              <w:rPr>
                <w:rFonts w:ascii="David" w:eastAsiaTheme="minorHAnsi" w:hAnsi="David" w:hint="cs"/>
                <w:snapToGrid/>
                <w:sz w:val="26"/>
                <w:rtl/>
              </w:rPr>
              <w:t>ני מתקין תקנות אלה</w:t>
            </w:r>
            <w:r w:rsidRPr="001E511A">
              <w:rPr>
                <w:rFonts w:ascii="David" w:eastAsiaTheme="minorHAnsi" w:hAnsi="David"/>
                <w:snapToGrid/>
                <w:sz w:val="26"/>
                <w:rtl/>
              </w:rPr>
              <w:t>:</w:t>
            </w:r>
          </w:p>
        </w:tc>
      </w:tr>
      <w:tr w:rsidR="008D74FD" w:rsidTr="00485C07">
        <w:trPr>
          <w:cantSplit/>
          <w:trHeight w:val="60"/>
        </w:trPr>
        <w:tc>
          <w:tcPr>
            <w:tcW w:w="1871" w:type="dxa"/>
            <w:tcBorders>
              <w:top w:val="single" w:sz="4" w:space="0" w:color="auto"/>
              <w:left w:val="single" w:sz="4" w:space="0" w:color="auto"/>
              <w:bottom w:val="single" w:sz="4" w:space="0" w:color="auto"/>
              <w:right w:val="single" w:sz="6" w:space="0" w:color="auto"/>
            </w:tcBorders>
          </w:tcPr>
          <w:p w:rsidR="008D74FD" w:rsidRDefault="008D74FD" w:rsidP="007E751D">
            <w:pPr>
              <w:pStyle w:val="TableSideHeading"/>
              <w:keepLines w:val="0"/>
            </w:pPr>
            <w:r>
              <w:rPr>
                <w:rFonts w:hint="cs"/>
                <w:rtl/>
              </w:rPr>
              <w:t>תיקון תקנה 19</w:t>
            </w:r>
          </w:p>
        </w:tc>
        <w:tc>
          <w:tcPr>
            <w:tcW w:w="624" w:type="dxa"/>
            <w:tcBorders>
              <w:top w:val="single" w:sz="4" w:space="0" w:color="auto"/>
              <w:left w:val="single" w:sz="6" w:space="0" w:color="auto"/>
              <w:bottom w:val="single" w:sz="4" w:space="0" w:color="auto"/>
              <w:right w:val="single" w:sz="6" w:space="0" w:color="auto"/>
            </w:tcBorders>
          </w:tcPr>
          <w:p w:rsidR="008D74FD" w:rsidRDefault="008D74FD" w:rsidP="008D74FD">
            <w:pPr>
              <w:pStyle w:val="TableText"/>
              <w:keepLines w:val="0"/>
              <w:numPr>
                <w:ilvl w:val="0"/>
                <w:numId w:val="4"/>
              </w:numPr>
            </w:pPr>
          </w:p>
        </w:tc>
        <w:tc>
          <w:tcPr>
            <w:tcW w:w="7146" w:type="dxa"/>
            <w:tcBorders>
              <w:top w:val="single" w:sz="4" w:space="0" w:color="auto"/>
              <w:left w:val="single" w:sz="6" w:space="0" w:color="auto"/>
              <w:bottom w:val="single" w:sz="4" w:space="0" w:color="auto"/>
              <w:right w:val="single" w:sz="4" w:space="0" w:color="auto"/>
            </w:tcBorders>
          </w:tcPr>
          <w:p w:rsidR="008D74FD" w:rsidRPr="00C34DE2" w:rsidRDefault="008D74FD" w:rsidP="0056629D">
            <w:pPr>
              <w:pStyle w:val="TableBlock"/>
              <w:keepLines w:val="0"/>
            </w:pPr>
            <w:r w:rsidRPr="008D74FD">
              <w:rPr>
                <w:rFonts w:ascii="David" w:eastAsiaTheme="minorHAnsi" w:hAnsi="David" w:hint="cs"/>
                <w:snapToGrid/>
                <w:sz w:val="26"/>
                <w:rtl/>
              </w:rPr>
              <w:t>בתקנות הבטיחות בעבודה(עבודות בניה)</w:t>
            </w:r>
            <w:r w:rsidR="006E3836">
              <w:rPr>
                <w:rFonts w:ascii="David" w:eastAsiaTheme="minorHAnsi" w:hAnsi="David" w:hint="cs"/>
                <w:snapToGrid/>
                <w:sz w:val="26"/>
                <w:rtl/>
              </w:rPr>
              <w:t xml:space="preserve"> </w:t>
            </w:r>
            <w:r w:rsidRPr="008D74FD">
              <w:rPr>
                <w:rFonts w:ascii="David" w:eastAsiaTheme="minorHAnsi" w:hAnsi="David" w:hint="cs"/>
                <w:snapToGrid/>
                <w:sz w:val="26"/>
                <w:rtl/>
              </w:rPr>
              <w:t>(תיקון),התשע"ט-2019</w:t>
            </w:r>
            <w:r>
              <w:rPr>
                <w:rStyle w:val="a7"/>
                <w:rFonts w:ascii="David" w:eastAsiaTheme="minorHAnsi" w:hAnsi="David"/>
                <w:snapToGrid/>
                <w:sz w:val="26"/>
                <w:rtl/>
              </w:rPr>
              <w:footnoteReference w:id="2"/>
            </w:r>
            <w:r w:rsidRPr="008D74FD">
              <w:rPr>
                <w:rFonts w:ascii="David" w:eastAsiaTheme="minorHAnsi" w:hAnsi="David" w:hint="cs"/>
                <w:snapToGrid/>
                <w:sz w:val="26"/>
                <w:rtl/>
              </w:rPr>
              <w:t xml:space="preserve">- </w:t>
            </w:r>
            <w:r w:rsidR="00914A19">
              <w:rPr>
                <w:rFonts w:ascii="David" w:eastAsiaTheme="minorHAnsi" w:hAnsi="David" w:hint="cs"/>
                <w:snapToGrid/>
                <w:sz w:val="26"/>
                <w:rtl/>
              </w:rPr>
              <w:t>בתקנה 19</w:t>
            </w:r>
            <w:r w:rsidRPr="008D74FD">
              <w:rPr>
                <w:rFonts w:ascii="David" w:eastAsiaTheme="minorHAnsi" w:hAnsi="David" w:hint="cs"/>
                <w:snapToGrid/>
                <w:sz w:val="26"/>
                <w:rtl/>
              </w:rPr>
              <w:t xml:space="preserve">(ב) </w:t>
            </w:r>
            <w:r w:rsidR="0056629D">
              <w:rPr>
                <w:rFonts w:hint="cs"/>
                <w:rtl/>
              </w:rPr>
              <w:t>בפסקה (2) במקום "18 חודשים" יבוא "30 חודשים".</w:t>
            </w:r>
          </w:p>
        </w:tc>
      </w:tr>
      <w:tr w:rsidR="0056629D" w:rsidTr="00CD6AEB">
        <w:trPr>
          <w:cantSplit/>
          <w:trHeight w:val="60"/>
        </w:trPr>
        <w:tc>
          <w:tcPr>
            <w:tcW w:w="1871" w:type="dxa"/>
            <w:tcBorders>
              <w:top w:val="single" w:sz="4" w:space="0" w:color="auto"/>
              <w:left w:val="single" w:sz="4" w:space="0" w:color="auto"/>
              <w:bottom w:val="single" w:sz="4" w:space="0" w:color="auto"/>
              <w:right w:val="single" w:sz="6" w:space="0" w:color="auto"/>
            </w:tcBorders>
          </w:tcPr>
          <w:p w:rsidR="0056629D" w:rsidRDefault="0056629D">
            <w:pPr>
              <w:pStyle w:val="TableSideHeading"/>
            </w:pPr>
            <w:r>
              <w:rPr>
                <w:rFonts w:hint="cs"/>
                <w:rtl/>
              </w:rPr>
              <w:t xml:space="preserve">הוראת שעה </w:t>
            </w:r>
          </w:p>
        </w:tc>
        <w:tc>
          <w:tcPr>
            <w:tcW w:w="624" w:type="dxa"/>
            <w:tcBorders>
              <w:top w:val="single" w:sz="4" w:space="0" w:color="auto"/>
              <w:left w:val="single" w:sz="6" w:space="0" w:color="auto"/>
              <w:bottom w:val="single" w:sz="4" w:space="0" w:color="auto"/>
              <w:right w:val="single" w:sz="6" w:space="0" w:color="auto"/>
            </w:tcBorders>
          </w:tcPr>
          <w:p w:rsidR="0056629D" w:rsidRDefault="0056629D" w:rsidP="0056629D">
            <w:pPr>
              <w:pStyle w:val="TableText"/>
              <w:numPr>
                <w:ilvl w:val="0"/>
                <w:numId w:val="4"/>
              </w:numPr>
            </w:pPr>
          </w:p>
        </w:tc>
        <w:tc>
          <w:tcPr>
            <w:tcW w:w="7146" w:type="dxa"/>
            <w:tcBorders>
              <w:top w:val="single" w:sz="4" w:space="0" w:color="auto"/>
              <w:left w:val="single" w:sz="6" w:space="0" w:color="auto"/>
              <w:bottom w:val="single" w:sz="4" w:space="0" w:color="auto"/>
              <w:right w:val="single" w:sz="4" w:space="0" w:color="auto"/>
            </w:tcBorders>
          </w:tcPr>
          <w:p w:rsidR="0056629D" w:rsidRDefault="0056629D" w:rsidP="00C67A16">
            <w:pPr>
              <w:pStyle w:val="TableBlock"/>
              <w:tabs>
                <w:tab w:val="clear" w:pos="624"/>
              </w:tabs>
              <w:rPr>
                <w:rtl/>
              </w:rPr>
            </w:pPr>
            <w:r>
              <w:rPr>
                <w:rFonts w:hint="cs"/>
                <w:rtl/>
              </w:rPr>
              <w:t xml:space="preserve">בתקנות הבטיחות בעבודה (עבודות בנייה), </w:t>
            </w:r>
            <w:proofErr w:type="spellStart"/>
            <w:r>
              <w:rPr>
                <w:rFonts w:hint="cs"/>
                <w:rtl/>
              </w:rPr>
              <w:t>התשמ"ח</w:t>
            </w:r>
            <w:proofErr w:type="spellEnd"/>
            <w:r>
              <w:rPr>
                <w:rFonts w:hint="cs"/>
                <w:rtl/>
              </w:rPr>
              <w:t xml:space="preserve"> </w:t>
            </w:r>
            <w:r>
              <w:rPr>
                <w:rtl/>
              </w:rPr>
              <w:t>–</w:t>
            </w:r>
            <w:r>
              <w:rPr>
                <w:rFonts w:hint="cs"/>
                <w:rtl/>
              </w:rPr>
              <w:t xml:space="preserve"> 1988</w:t>
            </w:r>
            <w:r>
              <w:rPr>
                <w:rStyle w:val="a7"/>
                <w:rtl/>
              </w:rPr>
              <w:footnoteReference w:id="3"/>
            </w:r>
            <w:r>
              <w:rPr>
                <w:rFonts w:hint="cs"/>
                <w:rtl/>
              </w:rPr>
              <w:t xml:space="preserve"> , בתקופה של שנה מיום תחילתן של תקנות אלה </w:t>
            </w:r>
            <w:r>
              <w:rPr>
                <w:rtl/>
              </w:rPr>
              <w:t>–</w:t>
            </w:r>
            <w:r>
              <w:rPr>
                <w:rFonts w:hint="cs"/>
                <w:rtl/>
              </w:rPr>
              <w:t xml:space="preserve"> יראו כאילו תקנה 34 </w:t>
            </w:r>
            <w:r>
              <w:rPr>
                <w:rtl/>
              </w:rPr>
              <w:t>–</w:t>
            </w:r>
            <w:r>
              <w:rPr>
                <w:rFonts w:hint="cs"/>
                <w:rtl/>
              </w:rPr>
              <w:t xml:space="preserve"> בטלה.</w:t>
            </w:r>
          </w:p>
        </w:tc>
      </w:tr>
    </w:tbl>
    <w:p w:rsidR="00111F55" w:rsidRPr="004310DD" w:rsidRDefault="00111F55" w:rsidP="00722C14"/>
    <w:p w:rsidR="00111F55" w:rsidRDefault="00111F55" w:rsidP="00722C14">
      <w:pPr>
        <w:rPr>
          <w:rtl/>
        </w:rPr>
      </w:pPr>
    </w:p>
    <w:p w:rsidR="00111F55" w:rsidRDefault="00111F55" w:rsidP="00722C14">
      <w:pPr>
        <w:rPr>
          <w:rFonts w:eastAsia="Calibri"/>
          <w:rtl/>
        </w:rPr>
      </w:pPr>
      <w:r>
        <w:rPr>
          <w:rFonts w:eastAsia="Calibri" w:hint="cs"/>
          <w:rtl/>
        </w:rPr>
        <w:t>___ ב________ התש_______ (___ ב________ ____20)</w:t>
      </w:r>
    </w:p>
    <w:p w:rsidR="00111F55" w:rsidRDefault="00111F55" w:rsidP="00C96B7B">
      <w:pPr>
        <w:rPr>
          <w:rFonts w:eastAsia="Calibri"/>
          <w:rtl/>
        </w:rPr>
      </w:pPr>
      <w:r>
        <w:rPr>
          <w:rFonts w:eastAsia="Calibri" w:hint="cs"/>
          <w:rtl/>
        </w:rPr>
        <w:t>[</w:t>
      </w:r>
    </w:p>
    <w:p w:rsidR="00111F55" w:rsidRDefault="00C96B7B" w:rsidP="00C96B7B">
      <w:pPr>
        <w:rPr>
          <w:rtl/>
        </w:rPr>
      </w:pPr>
      <w:r>
        <w:rPr>
          <w:rFonts w:hint="cs"/>
          <w:rtl/>
        </w:rPr>
        <w:t>(</w:t>
      </w:r>
      <w:proofErr w:type="spellStart"/>
      <w:r>
        <w:rPr>
          <w:rFonts w:hint="cs"/>
          <w:rtl/>
        </w:rPr>
        <w:t>חמ</w:t>
      </w:r>
      <w:proofErr w:type="spellEnd"/>
      <w:r>
        <w:rPr>
          <w:rFonts w:hint="cs"/>
          <w:rtl/>
        </w:rPr>
        <w:t xml:space="preserve">  3-1745</w:t>
      </w:r>
      <w:r w:rsidR="00111F55">
        <w:rPr>
          <w:rFonts w:hint="cs"/>
          <w:rtl/>
        </w:rPr>
        <w:t>)</w:t>
      </w:r>
    </w:p>
    <w:p w:rsidR="00111F55" w:rsidRDefault="00111F55" w:rsidP="00722C14">
      <w:pPr>
        <w:rPr>
          <w:rtl/>
        </w:rPr>
      </w:pPr>
    </w:p>
    <w:p w:rsidR="00111F55" w:rsidRDefault="00111F55" w:rsidP="00722C14">
      <w:pPr>
        <w:ind w:left="5760"/>
        <w:jc w:val="center"/>
        <w:rPr>
          <w:rtl/>
        </w:rPr>
      </w:pPr>
      <w:r>
        <w:rPr>
          <w:rFonts w:hint="cs"/>
          <w:rtl/>
        </w:rPr>
        <w:t>__________________[חתימה]</w:t>
      </w:r>
    </w:p>
    <w:p w:rsidR="007E7AA4" w:rsidRDefault="005A1DFE" w:rsidP="007E7AA4">
      <w:pPr>
        <w:ind w:left="5760"/>
        <w:jc w:val="center"/>
        <w:rPr>
          <w:rtl/>
        </w:rPr>
      </w:pPr>
      <w:r>
        <w:rPr>
          <w:rFonts w:hint="cs"/>
          <w:rtl/>
        </w:rPr>
        <w:t>איציק שמולי</w:t>
      </w:r>
    </w:p>
    <w:p w:rsidR="00111F55" w:rsidRDefault="007E7AA4" w:rsidP="007E7AA4">
      <w:pPr>
        <w:ind w:left="5760"/>
        <w:jc w:val="center"/>
        <w:rPr>
          <w:rtl/>
        </w:rPr>
      </w:pPr>
      <w:r>
        <w:rPr>
          <w:rFonts w:hint="cs"/>
          <w:rtl/>
        </w:rPr>
        <w:t xml:space="preserve"> </w:t>
      </w:r>
      <w:r w:rsidR="005A1DFE">
        <w:rPr>
          <w:rFonts w:hint="cs"/>
          <w:rtl/>
        </w:rPr>
        <w:t>שר העבודה, הרווחה והשירותים החברתיים</w:t>
      </w:r>
    </w:p>
    <w:p w:rsidR="00111F55" w:rsidRDefault="00111F55" w:rsidP="00722C14">
      <w:pPr>
        <w:rPr>
          <w:rtl/>
        </w:rPr>
      </w:pPr>
    </w:p>
    <w:p w:rsidR="00111F55" w:rsidRDefault="00111F55" w:rsidP="00722C14">
      <w:pPr>
        <w:pStyle w:val="HeadDivreiHesber"/>
        <w:rPr>
          <w:rtl/>
        </w:rPr>
      </w:pPr>
      <w:r>
        <w:rPr>
          <w:rtl/>
        </w:rPr>
        <w:t>דברי הסבר</w:t>
      </w:r>
    </w:p>
    <w:p w:rsidR="00111F55" w:rsidRDefault="00111F55" w:rsidP="00722C14">
      <w:pPr>
        <w:pStyle w:val="Hesber1st"/>
        <w:tabs>
          <w:tab w:val="clear" w:pos="680"/>
        </w:tabs>
        <w:rPr>
          <w:rtl/>
        </w:rPr>
      </w:pPr>
    </w:p>
    <w:p w:rsidR="00C96B7B" w:rsidRDefault="007E7AA4" w:rsidP="00913413">
      <w:r>
        <w:rPr>
          <w:rFonts w:hint="cs"/>
          <w:rtl/>
        </w:rPr>
        <w:t xml:space="preserve">ביום 27.1.2019 פורסמו ברשומות תקנות הבטיחות בעבודה (עבודות בנייה) (תיקון), </w:t>
      </w:r>
      <w:proofErr w:type="spellStart"/>
      <w:r>
        <w:rPr>
          <w:rFonts w:hint="cs"/>
          <w:rtl/>
        </w:rPr>
        <w:t>התשע"ט</w:t>
      </w:r>
      <w:proofErr w:type="spellEnd"/>
      <w:r>
        <w:rPr>
          <w:rFonts w:hint="cs"/>
          <w:rtl/>
        </w:rPr>
        <w:t xml:space="preserve"> </w:t>
      </w:r>
      <w:r>
        <w:rPr>
          <w:rtl/>
        </w:rPr>
        <w:t>–</w:t>
      </w:r>
      <w:r>
        <w:rPr>
          <w:rFonts w:hint="cs"/>
          <w:rtl/>
        </w:rPr>
        <w:t xml:space="preserve"> 2019, במסגרתן, הוסדרה בין היתר, חובת מבצע הבנייה לעשות שימוש בפיגומים </w:t>
      </w:r>
      <w:proofErr w:type="spellStart"/>
      <w:r>
        <w:rPr>
          <w:rFonts w:hint="cs"/>
          <w:rtl/>
        </w:rPr>
        <w:t>זקפים</w:t>
      </w:r>
      <w:proofErr w:type="spellEnd"/>
      <w:r>
        <w:rPr>
          <w:rFonts w:hint="cs"/>
          <w:rtl/>
        </w:rPr>
        <w:t xml:space="preserve"> העומד בדרישות תקן ישראלי ת"י 1139 חלק 1 פיגומים : דרישות תפקוד ותכן כללי.  חובה זו הוחלה על מבצעי הבנייה באופן הדרגתי, ב- 3 פעימות</w:t>
      </w:r>
      <w:r w:rsidR="00C96B7B">
        <w:rPr>
          <w:rFonts w:hint="cs"/>
          <w:rtl/>
        </w:rPr>
        <w:t xml:space="preserve">: </w:t>
      </w:r>
      <w:r>
        <w:rPr>
          <w:rFonts w:hint="cs"/>
          <w:rtl/>
        </w:rPr>
        <w:t xml:space="preserve"> </w:t>
      </w:r>
      <w:r w:rsidR="00C96B7B">
        <w:rPr>
          <w:rFonts w:hint="cs"/>
          <w:rtl/>
        </w:rPr>
        <w:t xml:space="preserve">הראשונה (לגבי פיגומי </w:t>
      </w:r>
      <w:proofErr w:type="spellStart"/>
      <w:r w:rsidR="00C96B7B">
        <w:rPr>
          <w:rFonts w:hint="cs"/>
          <w:rtl/>
        </w:rPr>
        <w:t>זקפים</w:t>
      </w:r>
      <w:proofErr w:type="spellEnd"/>
      <w:r w:rsidR="00C96B7B">
        <w:rPr>
          <w:rFonts w:hint="cs"/>
          <w:rtl/>
        </w:rPr>
        <w:t xml:space="preserve"> שגובהם מעל ל- </w:t>
      </w:r>
      <w:r w:rsidR="00913413">
        <w:rPr>
          <w:rFonts w:hint="cs"/>
          <w:rtl/>
        </w:rPr>
        <w:t>30</w:t>
      </w:r>
      <w:r w:rsidR="00C96B7B">
        <w:rPr>
          <w:rFonts w:hint="cs"/>
          <w:rtl/>
        </w:rPr>
        <w:t xml:space="preserve"> מטרים)  </w:t>
      </w:r>
      <w:r w:rsidR="00C96B7B">
        <w:rPr>
          <w:rtl/>
        </w:rPr>
        <w:t>–</w:t>
      </w:r>
      <w:r w:rsidR="00C96B7B">
        <w:rPr>
          <w:rFonts w:hint="cs"/>
          <w:rtl/>
        </w:rPr>
        <w:t xml:space="preserve">6 חודשים ממועד פרסום התקנות, השנייה (לגבי פיגומי </w:t>
      </w:r>
      <w:proofErr w:type="spellStart"/>
      <w:r w:rsidR="00C96B7B">
        <w:rPr>
          <w:rFonts w:hint="cs"/>
          <w:rtl/>
        </w:rPr>
        <w:t>זקפים</w:t>
      </w:r>
      <w:proofErr w:type="spellEnd"/>
      <w:r w:rsidR="00C96B7B">
        <w:rPr>
          <w:rFonts w:hint="cs"/>
          <w:rtl/>
        </w:rPr>
        <w:t xml:space="preserve"> שגובהם מעל ל- 8 מטרים) </w:t>
      </w:r>
      <w:r w:rsidR="00C96B7B">
        <w:rPr>
          <w:rtl/>
        </w:rPr>
        <w:t>–</w:t>
      </w:r>
      <w:r w:rsidR="00C96B7B">
        <w:rPr>
          <w:rFonts w:hint="cs"/>
          <w:rtl/>
        </w:rPr>
        <w:t xml:space="preserve">18 חודשים מיום פרסומן והשלישית (לגבי פיגומי </w:t>
      </w:r>
      <w:proofErr w:type="spellStart"/>
      <w:r w:rsidR="00C96B7B">
        <w:rPr>
          <w:rFonts w:hint="cs"/>
          <w:rtl/>
        </w:rPr>
        <w:t>זקפים</w:t>
      </w:r>
      <w:proofErr w:type="spellEnd"/>
      <w:r w:rsidR="00C96B7B">
        <w:rPr>
          <w:rFonts w:hint="cs"/>
          <w:rtl/>
        </w:rPr>
        <w:t xml:space="preserve"> שגובהם מתחת ל- 8 מטרים) - 36 חודשים ממועד הפרסום. </w:t>
      </w:r>
    </w:p>
    <w:p w:rsidR="007E7AA4" w:rsidRPr="00C96B7B" w:rsidRDefault="007E7AA4" w:rsidP="007E7AA4">
      <w:pPr>
        <w:rPr>
          <w:rtl/>
        </w:rPr>
      </w:pPr>
    </w:p>
    <w:p w:rsidR="001D1A2A" w:rsidRDefault="00C96B7B" w:rsidP="00A14589">
      <w:pPr>
        <w:rPr>
          <w:rtl/>
        </w:rPr>
      </w:pPr>
      <w:r>
        <w:rPr>
          <w:rFonts w:hint="cs"/>
          <w:rtl/>
        </w:rPr>
        <w:t xml:space="preserve">מאז התקנת </w:t>
      </w:r>
      <w:r w:rsidR="007E7AA4">
        <w:rPr>
          <w:rFonts w:hint="cs"/>
          <w:rtl/>
        </w:rPr>
        <w:t xml:space="preserve"> התקנות, נעשו פעולות שונות על מנת להשלים ההיערכות לצורך יישום החובה. ברם, עד לעת הזו, טרם הושלמה ההיערכות הנדרשת </w:t>
      </w:r>
      <w:r w:rsidR="00ED17AB">
        <w:rPr>
          <w:rFonts w:hint="cs"/>
          <w:rtl/>
        </w:rPr>
        <w:t xml:space="preserve"> מטעם מכון התקנים </w:t>
      </w:r>
      <w:r w:rsidR="007E7AA4">
        <w:rPr>
          <w:rFonts w:hint="cs"/>
          <w:rtl/>
        </w:rPr>
        <w:t xml:space="preserve">לצורך </w:t>
      </w:r>
      <w:r w:rsidR="00A14589">
        <w:rPr>
          <w:rFonts w:hint="cs"/>
          <w:rtl/>
        </w:rPr>
        <w:t xml:space="preserve">בדיקת עמידה בכל </w:t>
      </w:r>
      <w:r w:rsidR="00990D86">
        <w:rPr>
          <w:rFonts w:hint="cs"/>
          <w:rtl/>
        </w:rPr>
        <w:t>סעיפי התקן</w:t>
      </w:r>
      <w:r>
        <w:rPr>
          <w:rFonts w:hint="cs"/>
          <w:rtl/>
        </w:rPr>
        <w:t xml:space="preserve">, בעיקר בכל </w:t>
      </w:r>
      <w:r>
        <w:rPr>
          <w:rFonts w:hint="cs"/>
          <w:rtl/>
        </w:rPr>
        <w:lastRenderedPageBreak/>
        <w:t xml:space="preserve">הקשור לחובת העמידה בדרישת התקן לביצוע בחינת העמסה פיזית, במהלכה מופעלים כוחות שונים על דגם מייצג של הפיגום. בחינה זו מחייבת הקמת מתקן בדיקה שאינו מצוי כיום בישראל. </w:t>
      </w:r>
      <w:r w:rsidR="00990D86">
        <w:rPr>
          <w:rFonts w:hint="cs"/>
          <w:rtl/>
        </w:rPr>
        <w:t xml:space="preserve"> </w:t>
      </w:r>
    </w:p>
    <w:p w:rsidR="00904960" w:rsidRDefault="00904960" w:rsidP="001D1A2A">
      <w:pPr>
        <w:rPr>
          <w:rtl/>
        </w:rPr>
      </w:pPr>
    </w:p>
    <w:p w:rsidR="007E7AA4" w:rsidRDefault="00904960" w:rsidP="00E937EF">
      <w:pPr>
        <w:rPr>
          <w:rtl/>
        </w:rPr>
      </w:pPr>
      <w:r>
        <w:rPr>
          <w:rFonts w:hint="cs"/>
          <w:rtl/>
        </w:rPr>
        <w:t xml:space="preserve">עוד נבהיר כי כחלק מפעולות ההיערכות לצורך יישום התקנות, </w:t>
      </w:r>
      <w:r w:rsidR="001D1A2A">
        <w:rPr>
          <w:rFonts w:hint="cs"/>
          <w:rtl/>
        </w:rPr>
        <w:t>הכיר מכון התקנים</w:t>
      </w:r>
      <w:r>
        <w:rPr>
          <w:rFonts w:hint="cs"/>
          <w:rtl/>
        </w:rPr>
        <w:t xml:space="preserve">, בחודשים האחרונים, </w:t>
      </w:r>
      <w:r w:rsidR="001D1A2A">
        <w:rPr>
          <w:rFonts w:hint="cs"/>
          <w:rtl/>
        </w:rPr>
        <w:t>בש</w:t>
      </w:r>
      <w:r>
        <w:rPr>
          <w:rFonts w:hint="cs"/>
          <w:rtl/>
        </w:rPr>
        <w:t>ת</w:t>
      </w:r>
      <w:r w:rsidR="001D1A2A">
        <w:rPr>
          <w:rFonts w:hint="cs"/>
          <w:rtl/>
        </w:rPr>
        <w:t xml:space="preserve">י מעבדות הפועלות בחו"ל (בטורקיה ובגרמניה), וזאת על מנת שניתן יהיה להתבסס על הבדיקות שבוצעו על ידן, במסגרת תהליך אישור הדגם.  </w:t>
      </w:r>
    </w:p>
    <w:p w:rsidR="00990D86" w:rsidRDefault="00990D86" w:rsidP="007E7AA4">
      <w:pPr>
        <w:rPr>
          <w:rtl/>
        </w:rPr>
      </w:pPr>
    </w:p>
    <w:p w:rsidR="00990D86" w:rsidRDefault="00990D86" w:rsidP="00A14589">
      <w:pPr>
        <w:rPr>
          <w:rtl/>
        </w:rPr>
      </w:pPr>
      <w:r>
        <w:rPr>
          <w:rFonts w:hint="cs"/>
          <w:rtl/>
        </w:rPr>
        <w:t xml:space="preserve">על פי המידע שבידי המשרד, לקראת סוף חודש זה (יולי 2020), </w:t>
      </w:r>
      <w:r w:rsidR="00904960">
        <w:rPr>
          <w:rFonts w:hint="cs"/>
          <w:rtl/>
        </w:rPr>
        <w:t xml:space="preserve">ייתכן כי </w:t>
      </w:r>
      <w:r>
        <w:rPr>
          <w:rFonts w:hint="cs"/>
          <w:rtl/>
        </w:rPr>
        <w:t xml:space="preserve"> יצרן ישראלי ראשון </w:t>
      </w:r>
      <w:r w:rsidR="00A14589">
        <w:rPr>
          <w:rFonts w:hint="cs"/>
          <w:rtl/>
        </w:rPr>
        <w:t xml:space="preserve">יקבל </w:t>
      </w:r>
      <w:r>
        <w:rPr>
          <w:rFonts w:hint="cs"/>
          <w:rtl/>
        </w:rPr>
        <w:t xml:space="preserve">לידיו אישור ביחס לדגם פיגום המיוצר על ידו, אולם למיטב הבנת גורמי המקצוע בתחום </w:t>
      </w:r>
      <w:r>
        <w:rPr>
          <w:rtl/>
        </w:rPr>
        <w:t>–</w:t>
      </w:r>
      <w:r>
        <w:rPr>
          <w:rFonts w:hint="cs"/>
          <w:rtl/>
        </w:rPr>
        <w:t xml:space="preserve"> אין ביכולתו לתת מענה לכלל השוק, ולכן , מתעורר הצורך בדחיית מועד היישום למשך שנה נוספת, במהלכה יידרש מכון התקנים להשלים ה</w:t>
      </w:r>
      <w:r w:rsidR="0065755B">
        <w:rPr>
          <w:rFonts w:hint="cs"/>
          <w:rtl/>
        </w:rPr>
        <w:t>י</w:t>
      </w:r>
      <w:r>
        <w:rPr>
          <w:rFonts w:hint="cs"/>
          <w:rtl/>
        </w:rPr>
        <w:t xml:space="preserve">ערכותו לצורך ביצוע הבדיקות. </w:t>
      </w:r>
      <w:r w:rsidR="001D1A2A">
        <w:rPr>
          <w:rFonts w:hint="cs"/>
          <w:rtl/>
        </w:rPr>
        <w:t xml:space="preserve"> יתרה מכך, גם לאחר שיינתן אישור ביחס לדגמי פיגומים </w:t>
      </w:r>
      <w:r w:rsidR="0065755B">
        <w:rPr>
          <w:rFonts w:hint="cs"/>
          <w:rtl/>
        </w:rPr>
        <w:t>מסוימים</w:t>
      </w:r>
      <w:r w:rsidR="001D1A2A">
        <w:rPr>
          <w:rFonts w:hint="cs"/>
          <w:rtl/>
        </w:rPr>
        <w:t xml:space="preserve"> </w:t>
      </w:r>
      <w:r w:rsidR="001D1A2A">
        <w:rPr>
          <w:rtl/>
        </w:rPr>
        <w:t>–</w:t>
      </w:r>
      <w:r w:rsidR="001D1A2A">
        <w:rPr>
          <w:rFonts w:hint="cs"/>
          <w:rtl/>
        </w:rPr>
        <w:t xml:space="preserve"> קבלנים, באלפי אתרי בנייה הפועלים ברחבי המדינה, יידרשו להתקין פיגומים מהסוגים שיאושרו ותקופת הדחייה המבוקשת נדרשת גם לצורך השלמת היערכותם. </w:t>
      </w:r>
    </w:p>
    <w:p w:rsidR="001D1A2A" w:rsidRDefault="001D1A2A" w:rsidP="007E7AA4">
      <w:pPr>
        <w:rPr>
          <w:rtl/>
        </w:rPr>
      </w:pPr>
    </w:p>
    <w:p w:rsidR="007E7AA4" w:rsidRDefault="00904960" w:rsidP="00081A0F">
      <w:pPr>
        <w:rPr>
          <w:rtl/>
        </w:rPr>
      </w:pPr>
      <w:r>
        <w:rPr>
          <w:rFonts w:hint="cs"/>
          <w:rtl/>
        </w:rPr>
        <w:t xml:space="preserve">לעניין פיגומי </w:t>
      </w:r>
      <w:proofErr w:type="spellStart"/>
      <w:r>
        <w:rPr>
          <w:rFonts w:hint="cs"/>
          <w:rtl/>
        </w:rPr>
        <w:t>זקפים</w:t>
      </w:r>
      <w:proofErr w:type="spellEnd"/>
      <w:r>
        <w:rPr>
          <w:rFonts w:hint="cs"/>
          <w:rtl/>
        </w:rPr>
        <w:t xml:space="preserve"> שגובהם המתוכנן  מעל ל- 30 מטרים, </w:t>
      </w:r>
      <w:r w:rsidR="00081A0F">
        <w:rPr>
          <w:rFonts w:hint="cs"/>
          <w:rtl/>
        </w:rPr>
        <w:t xml:space="preserve">ובשים לב לקשיי היישום הקיימים </w:t>
      </w:r>
      <w:r w:rsidR="00081A0F">
        <w:rPr>
          <w:rtl/>
        </w:rPr>
        <w:t>–</w:t>
      </w:r>
      <w:r w:rsidR="00081A0F">
        <w:rPr>
          <w:rFonts w:hint="cs"/>
          <w:rtl/>
        </w:rPr>
        <w:t xml:space="preserve"> מוצע לקבוע כי אף לגביהם לא תחול החובה לעמוד בדרישות הקבועות בתקנה 34 למשך שנה. בעניין זה יובהר כי </w:t>
      </w:r>
      <w:r>
        <w:rPr>
          <w:rFonts w:hint="cs"/>
          <w:rtl/>
        </w:rPr>
        <w:t>גם לאחר אישור</w:t>
      </w:r>
      <w:r w:rsidR="00E937EF">
        <w:rPr>
          <w:rFonts w:hint="cs"/>
          <w:rtl/>
        </w:rPr>
        <w:t xml:space="preserve"> השינוי לפי </w:t>
      </w:r>
      <w:r>
        <w:rPr>
          <w:rFonts w:hint="cs"/>
          <w:rtl/>
        </w:rPr>
        <w:t xml:space="preserve"> התקנות המוצעות תחול חובה לבצע את עבודת הקמת הפיגום ופירוקה לפי </w:t>
      </w:r>
      <w:proofErr w:type="spellStart"/>
      <w:r>
        <w:rPr>
          <w:rFonts w:hint="cs"/>
          <w:rtl/>
        </w:rPr>
        <w:t>תוכנית</w:t>
      </w:r>
      <w:proofErr w:type="spellEnd"/>
      <w:r>
        <w:rPr>
          <w:rFonts w:hint="cs"/>
          <w:rtl/>
        </w:rPr>
        <w:t xml:space="preserve"> שהוכנה בידי מתכנן הקמת פיגומים (תכנית פיגומים), ולא ייעשה שימוש בפיגום כאמור אלא לאחר שמתכנן הקמת פיגומים אישר בכתב את התאמת הפיגום שהוקם לתוכנית הפיגומים</w:t>
      </w:r>
      <w:r w:rsidR="0065755B">
        <w:rPr>
          <w:rFonts w:hint="cs"/>
          <w:rtl/>
        </w:rPr>
        <w:t xml:space="preserve">, </w:t>
      </w:r>
      <w:r>
        <w:rPr>
          <w:rFonts w:hint="cs"/>
          <w:rtl/>
        </w:rPr>
        <w:t xml:space="preserve">כמפורט בתקנה 17א. לתקנות הבטיחות בעבודה (עבודות בנייה), </w:t>
      </w:r>
      <w:proofErr w:type="spellStart"/>
      <w:r>
        <w:rPr>
          <w:rFonts w:hint="cs"/>
          <w:rtl/>
        </w:rPr>
        <w:t>ה</w:t>
      </w:r>
      <w:r w:rsidR="0065755B">
        <w:rPr>
          <w:rFonts w:hint="cs"/>
          <w:rtl/>
        </w:rPr>
        <w:t>ת</w:t>
      </w:r>
      <w:r>
        <w:rPr>
          <w:rFonts w:hint="cs"/>
          <w:rtl/>
        </w:rPr>
        <w:t>שמ"ח</w:t>
      </w:r>
      <w:proofErr w:type="spellEnd"/>
      <w:r>
        <w:rPr>
          <w:rFonts w:hint="cs"/>
          <w:rtl/>
        </w:rPr>
        <w:t xml:space="preserve"> </w:t>
      </w:r>
      <w:r>
        <w:rPr>
          <w:rtl/>
        </w:rPr>
        <w:t>–</w:t>
      </w:r>
      <w:r>
        <w:rPr>
          <w:rFonts w:hint="cs"/>
          <w:rtl/>
        </w:rPr>
        <w:t xml:space="preserve"> 1998.  </w:t>
      </w:r>
    </w:p>
    <w:p w:rsidR="007E7AA4" w:rsidRPr="00C67A16" w:rsidRDefault="007E7AA4" w:rsidP="007E7AA4">
      <w:pPr>
        <w:pStyle w:val="af"/>
        <w:spacing w:line="360" w:lineRule="auto"/>
        <w:ind w:left="720"/>
        <w:rPr>
          <w:rtl/>
        </w:rPr>
      </w:pPr>
    </w:p>
    <w:p w:rsidR="007E7AA4" w:rsidRDefault="007E7AA4" w:rsidP="007E7AA4">
      <w:pPr>
        <w:pStyle w:val="af"/>
        <w:spacing w:line="360" w:lineRule="auto"/>
        <w:ind w:left="720"/>
        <w:rPr>
          <w:rtl/>
        </w:rPr>
      </w:pPr>
    </w:p>
    <w:p w:rsidR="007E7AA4" w:rsidRDefault="007E7AA4" w:rsidP="007E7AA4">
      <w:pPr>
        <w:pStyle w:val="af"/>
        <w:spacing w:line="360" w:lineRule="auto"/>
        <w:ind w:left="720"/>
        <w:rPr>
          <w:rtl/>
        </w:rPr>
      </w:pPr>
    </w:p>
    <w:p w:rsidR="007E7AA4" w:rsidRDefault="007E7AA4" w:rsidP="007E7AA4">
      <w:pPr>
        <w:pStyle w:val="af"/>
        <w:spacing w:line="360" w:lineRule="auto"/>
        <w:ind w:left="720"/>
        <w:rPr>
          <w:rtl/>
        </w:rPr>
      </w:pPr>
    </w:p>
    <w:p w:rsidR="007E7AA4" w:rsidRDefault="007E7AA4" w:rsidP="007E7AA4">
      <w:pPr>
        <w:pStyle w:val="af"/>
        <w:spacing w:line="360" w:lineRule="auto"/>
        <w:ind w:left="720"/>
        <w:rPr>
          <w:rtl/>
        </w:rPr>
      </w:pPr>
    </w:p>
    <w:p w:rsidR="007E7AA4" w:rsidRDefault="007E7AA4" w:rsidP="007E7AA4">
      <w:pPr>
        <w:pStyle w:val="af"/>
        <w:spacing w:line="360" w:lineRule="auto"/>
        <w:ind w:left="720"/>
        <w:rPr>
          <w:rtl/>
        </w:rPr>
      </w:pPr>
    </w:p>
    <w:p w:rsidR="00466FC1" w:rsidRDefault="00466FC1">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Pr>
        <w:rPr>
          <w:rtl/>
        </w:rPr>
      </w:pPr>
    </w:p>
    <w:p w:rsidR="00E64478" w:rsidRDefault="00E64478"/>
    <w:p w:rsidR="00BE5F51" w:rsidRPr="00E82DDF" w:rsidRDefault="00BE5F51" w:rsidP="00BE5F51">
      <w:pPr>
        <w:spacing w:after="120"/>
        <w:jc w:val="center"/>
        <w:rPr>
          <w:b/>
          <w:bCs/>
          <w:u w:val="single"/>
          <w:rtl/>
        </w:rPr>
      </w:pPr>
      <w:r w:rsidRPr="00E82DDF">
        <w:rPr>
          <w:b/>
          <w:bCs/>
          <w:u w:val="single"/>
          <w:rtl/>
        </w:rPr>
        <w:lastRenderedPageBreak/>
        <w:t xml:space="preserve">תקנות הבטיחות בעבודה (עבודות בנייה) (תיקון), </w:t>
      </w:r>
      <w:proofErr w:type="spellStart"/>
      <w:r w:rsidRPr="00E82DDF">
        <w:rPr>
          <w:b/>
          <w:bCs/>
          <w:u w:val="single"/>
          <w:rtl/>
        </w:rPr>
        <w:t>התש"ף</w:t>
      </w:r>
      <w:proofErr w:type="spellEnd"/>
      <w:r w:rsidRPr="00E82DDF">
        <w:rPr>
          <w:b/>
          <w:bCs/>
          <w:u w:val="single"/>
          <w:rtl/>
        </w:rPr>
        <w:t xml:space="preserve"> – 2020</w:t>
      </w:r>
      <w:r w:rsidRPr="00E82DDF">
        <w:rPr>
          <w:rFonts w:hint="cs"/>
          <w:b/>
          <w:bCs/>
          <w:u w:val="single"/>
          <w:rtl/>
        </w:rPr>
        <w:t xml:space="preserve"> </w:t>
      </w:r>
      <w:r w:rsidRPr="00E82DDF">
        <w:rPr>
          <w:b/>
          <w:bCs/>
          <w:u w:val="single"/>
          <w:rtl/>
        </w:rPr>
        <w:t>–</w:t>
      </w:r>
      <w:r w:rsidRPr="00E82DDF">
        <w:rPr>
          <w:rFonts w:hint="cs"/>
          <w:b/>
          <w:bCs/>
          <w:u w:val="single"/>
          <w:rtl/>
        </w:rPr>
        <w:t xml:space="preserve"> רקע לפרסום להערות הציבור</w:t>
      </w:r>
    </w:p>
    <w:p w:rsidR="00BE5F51" w:rsidRDefault="00BE5F51" w:rsidP="00BE5F51">
      <w:pPr>
        <w:spacing w:after="120"/>
        <w:rPr>
          <w:rtl/>
        </w:rPr>
      </w:pPr>
      <w:r>
        <w:rPr>
          <w:rFonts w:hint="cs"/>
          <w:rtl/>
        </w:rPr>
        <w:t xml:space="preserve">ביום 27.1.2019 פורסמו ברשומות תקנות הבטיחות בעבודה (עבודות בנייה) (תיקון), </w:t>
      </w:r>
      <w:proofErr w:type="spellStart"/>
      <w:r>
        <w:rPr>
          <w:rFonts w:hint="cs"/>
          <w:rtl/>
        </w:rPr>
        <w:t>התשע"ט</w:t>
      </w:r>
      <w:proofErr w:type="spellEnd"/>
      <w:r>
        <w:rPr>
          <w:rFonts w:hint="cs"/>
          <w:rtl/>
        </w:rPr>
        <w:t xml:space="preserve"> </w:t>
      </w:r>
      <w:r>
        <w:rPr>
          <w:rtl/>
        </w:rPr>
        <w:t>–</w:t>
      </w:r>
      <w:r>
        <w:rPr>
          <w:rFonts w:hint="cs"/>
          <w:rtl/>
        </w:rPr>
        <w:t xml:space="preserve"> 2019 -</w:t>
      </w:r>
      <w:r>
        <w:rPr>
          <w:rStyle w:val="a7"/>
          <w:rtl/>
        </w:rPr>
        <w:footnoteReference w:id="4"/>
      </w:r>
      <w:r>
        <w:rPr>
          <w:rFonts w:hint="cs"/>
          <w:rtl/>
        </w:rPr>
        <w:t xml:space="preserve">, במסגרתן הוסדרה בין היתר  </w:t>
      </w:r>
      <w:r w:rsidRPr="001E541F">
        <w:rPr>
          <w:rFonts w:hint="cs"/>
          <w:rtl/>
        </w:rPr>
        <w:t xml:space="preserve">חובת </w:t>
      </w:r>
      <w:r>
        <w:rPr>
          <w:rFonts w:hint="cs"/>
          <w:rtl/>
        </w:rPr>
        <w:t>מבצע הבנייה לעשות שימוש בפיגומי</w:t>
      </w:r>
      <w:r w:rsidRPr="001E541F">
        <w:rPr>
          <w:rFonts w:hint="cs"/>
          <w:rtl/>
        </w:rPr>
        <w:t xml:space="preserve"> </w:t>
      </w:r>
      <w:proofErr w:type="spellStart"/>
      <w:r w:rsidRPr="001E541F">
        <w:rPr>
          <w:rFonts w:hint="cs"/>
          <w:rtl/>
        </w:rPr>
        <w:t>זקפים</w:t>
      </w:r>
      <w:proofErr w:type="spellEnd"/>
      <w:r w:rsidRPr="001E541F">
        <w:rPr>
          <w:rFonts w:hint="cs"/>
          <w:rtl/>
        </w:rPr>
        <w:t xml:space="preserve"> העומד</w:t>
      </w:r>
      <w:r>
        <w:rPr>
          <w:rFonts w:hint="cs"/>
          <w:rtl/>
        </w:rPr>
        <w:t>ים</w:t>
      </w:r>
      <w:r w:rsidRPr="001E541F">
        <w:rPr>
          <w:rFonts w:hint="cs"/>
          <w:rtl/>
        </w:rPr>
        <w:t xml:space="preserve"> בדרישות תקן</w:t>
      </w:r>
      <w:r>
        <w:rPr>
          <w:rFonts w:hint="cs"/>
          <w:rtl/>
        </w:rPr>
        <w:t xml:space="preserve"> ישראלי ת"י 1139 חלק 1 פיגומים:</w:t>
      </w:r>
      <w:r w:rsidRPr="001E541F">
        <w:rPr>
          <w:rFonts w:hint="cs"/>
          <w:rtl/>
        </w:rPr>
        <w:t xml:space="preserve"> דרישות תפקוד ותכן כללי</w:t>
      </w:r>
      <w:r>
        <w:rPr>
          <w:rFonts w:hint="cs"/>
          <w:rtl/>
        </w:rPr>
        <w:t xml:space="preserve"> (התיקון נכנס לתוקף לאחר ביצוע הליך השפעת נטל רגולטורי ופרסום דוח בנושא, בחודש נובמבר 2018</w:t>
      </w:r>
      <w:r>
        <w:rPr>
          <w:rStyle w:val="a7"/>
          <w:rtl/>
        </w:rPr>
        <w:footnoteReference w:id="5"/>
      </w:r>
      <w:r>
        <w:rPr>
          <w:rFonts w:hint="cs"/>
          <w:rtl/>
        </w:rPr>
        <w:t>)</w:t>
      </w:r>
      <w:r w:rsidRPr="001E541F">
        <w:rPr>
          <w:rFonts w:hint="cs"/>
          <w:rtl/>
        </w:rPr>
        <w:t xml:space="preserve">.  </w:t>
      </w:r>
      <w:r w:rsidRPr="00597B4F">
        <w:rPr>
          <w:rtl/>
        </w:rPr>
        <w:t xml:space="preserve">חובה זו הוחלה על מבצעי הבנייה באופן הדרגתי, ב- 3 פעימות אשר נקבעו במסגרת תקנה 19 (ב): </w:t>
      </w:r>
    </w:p>
    <w:p w:rsidR="00BE5F51" w:rsidRPr="004E4EDF" w:rsidRDefault="00BE5F51" w:rsidP="00BE5F51">
      <w:pPr>
        <w:pStyle w:val="af"/>
        <w:numPr>
          <w:ilvl w:val="0"/>
          <w:numId w:val="23"/>
        </w:numPr>
        <w:spacing w:after="120" w:line="360" w:lineRule="auto"/>
        <w:rPr>
          <w:rFonts w:ascii="David" w:hAnsi="David"/>
          <w:sz w:val="24"/>
          <w:rtl/>
        </w:rPr>
      </w:pPr>
      <w:r w:rsidRPr="004E4EDF">
        <w:rPr>
          <w:rFonts w:ascii="David" w:hAnsi="David" w:hint="cs"/>
          <w:sz w:val="24"/>
          <w:rtl/>
        </w:rPr>
        <w:t xml:space="preserve">לגבי פיגומי </w:t>
      </w:r>
      <w:proofErr w:type="spellStart"/>
      <w:r w:rsidRPr="004E4EDF">
        <w:rPr>
          <w:rFonts w:ascii="David" w:hAnsi="David" w:hint="cs"/>
          <w:sz w:val="24"/>
          <w:rtl/>
        </w:rPr>
        <w:t>זקפים</w:t>
      </w:r>
      <w:proofErr w:type="spellEnd"/>
      <w:r w:rsidRPr="004E4EDF">
        <w:rPr>
          <w:rFonts w:ascii="David" w:hAnsi="David" w:hint="cs"/>
          <w:sz w:val="24"/>
          <w:rtl/>
        </w:rPr>
        <w:t xml:space="preserve"> שגובהם </w:t>
      </w:r>
      <w:r w:rsidRPr="004E4EDF">
        <w:rPr>
          <w:rFonts w:ascii="David" w:hAnsi="David"/>
          <w:sz w:val="24"/>
          <w:rtl/>
        </w:rPr>
        <w:t>עולה על 30</w:t>
      </w:r>
      <w:r>
        <w:rPr>
          <w:rFonts w:ascii="David" w:hAnsi="David"/>
          <w:sz w:val="24"/>
          <w:rtl/>
        </w:rPr>
        <w:t xml:space="preserve"> מטרים – שישה חודשים מיום פרסו</w:t>
      </w:r>
      <w:r>
        <w:rPr>
          <w:rFonts w:ascii="David" w:hAnsi="David" w:hint="cs"/>
          <w:sz w:val="24"/>
          <w:rtl/>
        </w:rPr>
        <w:t>ם התקנות</w:t>
      </w:r>
      <w:r w:rsidRPr="004E4EDF">
        <w:rPr>
          <w:rFonts w:ascii="David" w:hAnsi="David"/>
          <w:sz w:val="24"/>
          <w:rtl/>
        </w:rPr>
        <w:t xml:space="preserve">; </w:t>
      </w:r>
    </w:p>
    <w:p w:rsidR="00BE5F51" w:rsidRPr="004E4EDF" w:rsidRDefault="00BE5F51" w:rsidP="00BE5F51">
      <w:pPr>
        <w:pStyle w:val="af"/>
        <w:numPr>
          <w:ilvl w:val="0"/>
          <w:numId w:val="23"/>
        </w:numPr>
        <w:spacing w:after="120" w:line="360" w:lineRule="auto"/>
        <w:rPr>
          <w:rFonts w:ascii="David" w:hAnsi="David"/>
          <w:sz w:val="24"/>
          <w:rtl/>
        </w:rPr>
      </w:pPr>
      <w:r w:rsidRPr="004E4EDF">
        <w:rPr>
          <w:rFonts w:ascii="David" w:hAnsi="David" w:hint="cs"/>
          <w:sz w:val="24"/>
          <w:rtl/>
        </w:rPr>
        <w:t xml:space="preserve">לגבי פיגומי </w:t>
      </w:r>
      <w:proofErr w:type="spellStart"/>
      <w:r w:rsidRPr="004E4EDF">
        <w:rPr>
          <w:rFonts w:ascii="David" w:hAnsi="David" w:hint="cs"/>
          <w:sz w:val="24"/>
          <w:rtl/>
        </w:rPr>
        <w:t>זקפים</w:t>
      </w:r>
      <w:proofErr w:type="spellEnd"/>
      <w:r w:rsidRPr="004E4EDF">
        <w:rPr>
          <w:rFonts w:ascii="David" w:hAnsi="David" w:hint="cs"/>
          <w:sz w:val="24"/>
          <w:rtl/>
        </w:rPr>
        <w:t xml:space="preserve"> שגובהם </w:t>
      </w:r>
      <w:r w:rsidRPr="004E4EDF">
        <w:rPr>
          <w:rFonts w:ascii="David" w:hAnsi="David"/>
          <w:sz w:val="24"/>
          <w:rtl/>
        </w:rPr>
        <w:t xml:space="preserve">עולה על שמונה מטרים ואינו עולה על </w:t>
      </w:r>
      <w:r>
        <w:rPr>
          <w:rFonts w:ascii="David" w:hAnsi="David"/>
          <w:sz w:val="24"/>
          <w:rtl/>
        </w:rPr>
        <w:t>30 מטרים – 18 חודשים מיום פרסו</w:t>
      </w:r>
      <w:r>
        <w:rPr>
          <w:rFonts w:ascii="David" w:hAnsi="David" w:hint="cs"/>
          <w:sz w:val="24"/>
          <w:rtl/>
        </w:rPr>
        <w:t>ם התקנות</w:t>
      </w:r>
      <w:r w:rsidRPr="004E4EDF">
        <w:rPr>
          <w:rFonts w:ascii="David" w:hAnsi="David"/>
          <w:sz w:val="24"/>
          <w:rtl/>
        </w:rPr>
        <w:t xml:space="preserve">; </w:t>
      </w:r>
    </w:p>
    <w:p w:rsidR="00BE5F51" w:rsidRPr="004E4EDF" w:rsidRDefault="00BE5F51" w:rsidP="00BE5F51">
      <w:pPr>
        <w:pStyle w:val="af"/>
        <w:numPr>
          <w:ilvl w:val="0"/>
          <w:numId w:val="23"/>
        </w:numPr>
        <w:spacing w:after="120" w:line="360" w:lineRule="auto"/>
        <w:rPr>
          <w:rFonts w:ascii="David" w:hAnsi="David"/>
          <w:sz w:val="24"/>
          <w:rtl/>
        </w:rPr>
      </w:pPr>
      <w:r w:rsidRPr="004E4EDF">
        <w:rPr>
          <w:rFonts w:ascii="David" w:hAnsi="David" w:hint="cs"/>
          <w:sz w:val="24"/>
          <w:rtl/>
        </w:rPr>
        <w:t xml:space="preserve">לגבי פיגומי </w:t>
      </w:r>
      <w:proofErr w:type="spellStart"/>
      <w:r w:rsidRPr="004E4EDF">
        <w:rPr>
          <w:rFonts w:ascii="David" w:hAnsi="David" w:hint="cs"/>
          <w:sz w:val="24"/>
          <w:rtl/>
        </w:rPr>
        <w:t>זקפים</w:t>
      </w:r>
      <w:proofErr w:type="spellEnd"/>
      <w:r w:rsidRPr="004E4EDF">
        <w:rPr>
          <w:rFonts w:ascii="David" w:hAnsi="David" w:hint="cs"/>
          <w:sz w:val="24"/>
          <w:rtl/>
        </w:rPr>
        <w:t xml:space="preserve"> שגובהם</w:t>
      </w:r>
      <w:r w:rsidRPr="004E4EDF">
        <w:rPr>
          <w:rFonts w:ascii="David" w:hAnsi="David"/>
          <w:sz w:val="24"/>
          <w:rtl/>
        </w:rPr>
        <w:t xml:space="preserve"> אינו עולה על שמונה מטרים – 36 חוד</w:t>
      </w:r>
      <w:r>
        <w:rPr>
          <w:rFonts w:ascii="David" w:hAnsi="David"/>
          <w:sz w:val="24"/>
          <w:rtl/>
        </w:rPr>
        <w:t>שים מיום פרסו</w:t>
      </w:r>
      <w:r>
        <w:rPr>
          <w:rFonts w:ascii="David" w:hAnsi="David" w:hint="cs"/>
          <w:sz w:val="24"/>
          <w:rtl/>
        </w:rPr>
        <w:t>ם התקנות</w:t>
      </w:r>
      <w:r w:rsidRPr="004E4EDF">
        <w:rPr>
          <w:rFonts w:ascii="David" w:hAnsi="David"/>
          <w:sz w:val="24"/>
          <w:rtl/>
        </w:rPr>
        <w:t>.</w:t>
      </w:r>
    </w:p>
    <w:p w:rsidR="00BE5F51" w:rsidRDefault="00BE5F51" w:rsidP="00BE5F51">
      <w:pPr>
        <w:spacing w:after="120"/>
        <w:rPr>
          <w:rtl/>
        </w:rPr>
      </w:pPr>
      <w:r w:rsidRPr="00EC248E">
        <w:rPr>
          <w:rtl/>
        </w:rPr>
        <w:t xml:space="preserve">מאז ביצוע תיקון התקנות, נעשו פעולות שונות על מנת להשלים ההיערכות לצורך יישום החובה. ברם, </w:t>
      </w:r>
      <w:r>
        <w:rPr>
          <w:rFonts w:hint="cs"/>
          <w:rtl/>
        </w:rPr>
        <w:t xml:space="preserve">בשלב זה עדיין לא ניתן לעמוד בתקן הנדרש בשל חסמים בביצוע הבדיקות. כיום לא ניתן לבצע בישראל </w:t>
      </w:r>
      <w:r w:rsidRPr="00EC248E">
        <w:rPr>
          <w:rtl/>
        </w:rPr>
        <w:t>ב</w:t>
      </w:r>
      <w:r>
        <w:rPr>
          <w:rFonts w:hint="cs"/>
          <w:rtl/>
        </w:rPr>
        <w:t xml:space="preserve">דיקת כל </w:t>
      </w:r>
      <w:r w:rsidRPr="00EC248E">
        <w:rPr>
          <w:rtl/>
        </w:rPr>
        <w:t xml:space="preserve">סעיפי התקן, </w:t>
      </w:r>
      <w:r>
        <w:rPr>
          <w:rFonts w:hint="cs"/>
          <w:rtl/>
        </w:rPr>
        <w:t>ובפרט ביחס ל</w:t>
      </w:r>
      <w:r w:rsidRPr="00EC248E">
        <w:rPr>
          <w:rtl/>
        </w:rPr>
        <w:t xml:space="preserve">דרישת התקן לביצוע בחינת העמסה פיזית, במהלכה מופעלים כוחות שונים על דגם מייצג של </w:t>
      </w:r>
      <w:r>
        <w:rPr>
          <w:rtl/>
        </w:rPr>
        <w:t>הפיגום</w:t>
      </w:r>
      <w:r>
        <w:rPr>
          <w:rFonts w:hint="cs"/>
          <w:rtl/>
        </w:rPr>
        <w:t xml:space="preserve"> (להלן </w:t>
      </w:r>
      <w:r>
        <w:rPr>
          <w:rtl/>
        </w:rPr>
        <w:t>–</w:t>
      </w:r>
      <w:r>
        <w:rPr>
          <w:rFonts w:hint="cs"/>
          <w:rtl/>
        </w:rPr>
        <w:t xml:space="preserve"> מטעמי נוחות המנסח </w:t>
      </w:r>
      <w:r>
        <w:rPr>
          <w:rtl/>
        </w:rPr>
        <w:t>–</w:t>
      </w:r>
      <w:r>
        <w:rPr>
          <w:rFonts w:hint="cs"/>
          <w:rtl/>
        </w:rPr>
        <w:t xml:space="preserve"> הבדיקה האמורה תיקרא "הבדיקה  הפיזית").  מתקן הנדרש לצורך בדיקה זו אינו קיים כיום ברשות מכון התקנים, ואין מעבדות אחרות בארץ אשר בעלות יכולות לביצוע בדיקה זו בשלב זה. לאור החסמים הללו,  פנה </w:t>
      </w:r>
      <w:proofErr w:type="spellStart"/>
      <w:r>
        <w:rPr>
          <w:rFonts w:hint="cs"/>
          <w:rtl/>
        </w:rPr>
        <w:t>מינהל</w:t>
      </w:r>
      <w:proofErr w:type="spellEnd"/>
      <w:r>
        <w:rPr>
          <w:rFonts w:hint="cs"/>
          <w:rtl/>
        </w:rPr>
        <w:t xml:space="preserve"> הבטיחות לפני מספר חודשים אל הממונה על התקינה במשרד הכלכלה בבקשה לפעול את מול מכון התקנים ולבחון האפשרות להכרה במעבדות נוספות בחוץ לארץ אשר אישורן יתקבל על דעת מכון התקנים, אולם מטבע הדברים הליך זה מורכב ודורש בדיקות מקדימות שהניבו פירות לפני כחודש וחצי בלבד ובהיקף מוגבל אל מול הצורך באפיקי אישור נוספים ליבואנים/יצרנים ישראלים.</w:t>
      </w:r>
    </w:p>
    <w:p w:rsidR="00BE5F51" w:rsidRDefault="00BE5F51" w:rsidP="00BE5F51">
      <w:pPr>
        <w:spacing w:after="120"/>
        <w:rPr>
          <w:rtl/>
        </w:rPr>
      </w:pPr>
      <w:r>
        <w:rPr>
          <w:rFonts w:hint="cs"/>
          <w:rtl/>
        </w:rPr>
        <w:t xml:space="preserve">לעניין מבנים שגובהם עולה על 30 מטרים, בעת ביצוע אכיפה בשטח במהלך השנה האחרונה, מאז כניסת הפעימה הראשונה לתוקף, נראה כי בפועל ביחס לפיגומים כאמור, נעשה שימוש בחלופה של פיגום ממוכן, במקום שימוש בפיגום </w:t>
      </w:r>
      <w:proofErr w:type="spellStart"/>
      <w:r>
        <w:rPr>
          <w:rFonts w:hint="cs"/>
          <w:rtl/>
        </w:rPr>
        <w:t>זקפים</w:t>
      </w:r>
      <w:proofErr w:type="spellEnd"/>
      <w:r>
        <w:rPr>
          <w:rFonts w:hint="cs"/>
          <w:rtl/>
        </w:rPr>
        <w:t>. נציין כי לגבי פיגום ממוכן קיים תקן רשמי ואין בעייתיות ביחס לבדיקות המבוצעות לגביו.</w:t>
      </w:r>
    </w:p>
    <w:p w:rsidR="00BE5F51" w:rsidRDefault="00BE5F51" w:rsidP="00BE5F51">
      <w:pPr>
        <w:spacing w:after="120"/>
        <w:rPr>
          <w:rtl/>
        </w:rPr>
      </w:pPr>
      <w:r>
        <w:rPr>
          <w:rFonts w:hint="cs"/>
          <w:rtl/>
        </w:rPr>
        <w:t xml:space="preserve">לאור הקשיים שעלו, נבחנו בחודשים האחרונים מספר חלופות אל מול מכון התקנים, אולם לצערנו אף אחת מהן אינה ישימה בטווח הזמנים הנדרש בהתאם לתקנות. </w:t>
      </w:r>
    </w:p>
    <w:p w:rsidR="00BE5F51" w:rsidRDefault="00BE5F51" w:rsidP="00BE5F51">
      <w:pPr>
        <w:spacing w:after="120"/>
        <w:rPr>
          <w:rtl/>
        </w:rPr>
      </w:pPr>
      <w:r>
        <w:rPr>
          <w:rFonts w:hint="cs"/>
          <w:rtl/>
        </w:rPr>
        <w:t>החלופות שנבחנו הינן כדלקמן:</w:t>
      </w:r>
    </w:p>
    <w:p w:rsidR="00BE5F51" w:rsidRDefault="00BE5F51" w:rsidP="00BE5F51">
      <w:pPr>
        <w:pStyle w:val="af"/>
        <w:numPr>
          <w:ilvl w:val="0"/>
          <w:numId w:val="24"/>
        </w:numPr>
        <w:spacing w:after="120" w:line="360" w:lineRule="auto"/>
        <w:rPr>
          <w:rFonts w:ascii="David" w:hAnsi="David"/>
          <w:sz w:val="24"/>
        </w:rPr>
      </w:pPr>
      <w:r w:rsidRPr="005C0E0F">
        <w:rPr>
          <w:rFonts w:ascii="David" w:hAnsi="David" w:hint="cs"/>
          <w:b/>
          <w:bCs/>
          <w:sz w:val="24"/>
          <w:rtl/>
        </w:rPr>
        <w:t>העמדת יכולת בדיקה לצורך ביצוע הבדיקה הפיזית הרלוונטית ע"י מכון התקנים</w:t>
      </w:r>
      <w:r w:rsidRPr="005C0E0F">
        <w:rPr>
          <w:rFonts w:ascii="David" w:hAnsi="David" w:hint="cs"/>
          <w:sz w:val="24"/>
          <w:rtl/>
        </w:rPr>
        <w:t xml:space="preserve"> </w:t>
      </w:r>
      <w:r w:rsidRPr="005C0E0F">
        <w:rPr>
          <w:rFonts w:ascii="David" w:hAnsi="David"/>
          <w:sz w:val="24"/>
          <w:rtl/>
        </w:rPr>
        <w:t>–</w:t>
      </w:r>
      <w:r w:rsidRPr="005C0E0F">
        <w:rPr>
          <w:rFonts w:ascii="David" w:hAnsi="David" w:hint="cs"/>
          <w:sz w:val="24"/>
          <w:rtl/>
        </w:rPr>
        <w:t xml:space="preserve"> </w:t>
      </w:r>
      <w:r w:rsidRPr="004D64F2">
        <w:rPr>
          <w:rFonts w:ascii="David" w:hAnsi="David" w:hint="cs"/>
          <w:sz w:val="24"/>
          <w:rtl/>
        </w:rPr>
        <w:t>בשיחות שהתקיימו בחודשים האחרונים</w:t>
      </w:r>
      <w:r>
        <w:rPr>
          <w:rFonts w:ascii="David" w:hAnsi="David" w:hint="cs"/>
          <w:sz w:val="24"/>
          <w:rtl/>
        </w:rPr>
        <w:t xml:space="preserve"> עם נציגי מכון התקנים</w:t>
      </w:r>
      <w:r w:rsidRPr="004D64F2">
        <w:rPr>
          <w:rFonts w:ascii="David" w:hAnsi="David" w:hint="cs"/>
          <w:sz w:val="24"/>
          <w:rtl/>
        </w:rPr>
        <w:t xml:space="preserve">, </w:t>
      </w:r>
      <w:r>
        <w:rPr>
          <w:rFonts w:ascii="David" w:hAnsi="David" w:hint="cs"/>
          <w:sz w:val="24"/>
          <w:rtl/>
        </w:rPr>
        <w:t xml:space="preserve">נמסר כי </w:t>
      </w:r>
      <w:r w:rsidRPr="004D64F2">
        <w:rPr>
          <w:rFonts w:ascii="David" w:hAnsi="David" w:hint="cs"/>
          <w:sz w:val="24"/>
          <w:rtl/>
        </w:rPr>
        <w:t xml:space="preserve">העמדת יכולת הבדיקה לצורך ביצוע בדיקה כאמור </w:t>
      </w:r>
      <w:r>
        <w:rPr>
          <w:rFonts w:ascii="David" w:hAnsi="David" w:hint="cs"/>
          <w:sz w:val="24"/>
          <w:rtl/>
        </w:rPr>
        <w:t>מעלה קשיים שונים, הן בפן הכדאיות הכלכלית והן ביחס לזמן הנדרש לצורך ההיערכות להקמת המתקן הנדרש . על מנת להתמודד עם הקשיים בפן הכלכלי הועלתה האפשרות לפיה תינתן השתתפות מצד משרד העבודה לצורך הקמת מתקן הבדיקה הנדרש, אך ישימותה של אפשרות זו עודנה מוטלת בספק, ובפרט מאחר ואינה עונה על סוגיית הכדאיות הכלכלית לאורך חיי המתקן, כפי שמכון התקנים רואה זאת . יתרה מכך, גם השתתפות מסוג זה, ככל שתצא לפועל, אינה צפויה לפתור את הקושי הביצועי בכל הנוגע לסד הזמנים בו יש לעמוד לשם הקמת המתקן ובחינת עמידת דגמי הפיגומים בדרישות התקן.</w:t>
      </w:r>
    </w:p>
    <w:p w:rsidR="00BE5F51" w:rsidRPr="005C0E0F" w:rsidRDefault="00BE5F51" w:rsidP="00BE5F51">
      <w:pPr>
        <w:pStyle w:val="af"/>
        <w:numPr>
          <w:ilvl w:val="0"/>
          <w:numId w:val="24"/>
        </w:numPr>
        <w:spacing w:after="120" w:line="360" w:lineRule="auto"/>
        <w:rPr>
          <w:rFonts w:ascii="David" w:hAnsi="David"/>
          <w:sz w:val="24"/>
        </w:rPr>
      </w:pPr>
      <w:r w:rsidRPr="005C0E0F">
        <w:rPr>
          <w:rFonts w:ascii="David" w:hAnsi="David" w:hint="cs"/>
          <w:b/>
          <w:bCs/>
          <w:sz w:val="24"/>
          <w:rtl/>
        </w:rPr>
        <w:lastRenderedPageBreak/>
        <w:t>הכרה במעבדות בחו"ל לצורך ביצוע הבדיקה הפיזית</w:t>
      </w:r>
      <w:r w:rsidRPr="005C0E0F">
        <w:rPr>
          <w:rFonts w:ascii="David" w:hAnsi="David" w:hint="cs"/>
          <w:sz w:val="24"/>
          <w:rtl/>
        </w:rPr>
        <w:t xml:space="preserve"> </w:t>
      </w:r>
      <w:r w:rsidRPr="005C0E0F">
        <w:rPr>
          <w:rFonts w:ascii="David" w:hAnsi="David"/>
          <w:sz w:val="24"/>
          <w:rtl/>
        </w:rPr>
        <w:t>–</w:t>
      </w:r>
      <w:r w:rsidRPr="005C0E0F">
        <w:rPr>
          <w:rFonts w:ascii="David" w:hAnsi="David" w:hint="cs"/>
          <w:sz w:val="24"/>
          <w:rtl/>
        </w:rPr>
        <w:t xml:space="preserve"> המכון השלים רק לפני חודשים ספורים את הליך ההכרה שלו בשתי מעבדות בחו"ל, בטורקיה ובגרמניה, בכדי לבסס אפיק של הכרה בבדיקות המתבצעות בחו"ל, הרלוונטיות עבור יבואני פיגומים. יבואנים שהחלו התהליך מול מעבדות אלו טרם </w:t>
      </w:r>
      <w:r w:rsidRPr="005C0E0F">
        <w:rPr>
          <w:rFonts w:ascii="David" w:hAnsi="David"/>
          <w:sz w:val="24"/>
          <w:rtl/>
        </w:rPr>
        <w:t>סיימו את הליך אישור הדגם שברשותם.</w:t>
      </w:r>
    </w:p>
    <w:p w:rsidR="00BE5F51" w:rsidRDefault="00BE5F51" w:rsidP="00BE5F51">
      <w:pPr>
        <w:pStyle w:val="af"/>
        <w:spacing w:after="120" w:line="360" w:lineRule="auto"/>
        <w:ind w:left="360"/>
        <w:rPr>
          <w:rFonts w:ascii="David" w:hAnsi="David"/>
          <w:sz w:val="24"/>
        </w:rPr>
      </w:pPr>
      <w:r>
        <w:rPr>
          <w:rFonts w:ascii="David" w:hAnsi="David" w:hint="cs"/>
          <w:sz w:val="24"/>
          <w:rtl/>
        </w:rPr>
        <w:t xml:space="preserve">על אף האמור, יצוין כי </w:t>
      </w:r>
      <w:r w:rsidRPr="004E4EDF">
        <w:rPr>
          <w:rFonts w:ascii="David" w:hAnsi="David"/>
          <w:sz w:val="24"/>
          <w:rtl/>
        </w:rPr>
        <w:t>על פי המידע שבידי המשרד,</w:t>
      </w:r>
      <w:r>
        <w:rPr>
          <w:rFonts w:ascii="David" w:hAnsi="David"/>
          <w:sz w:val="24"/>
          <w:rtl/>
        </w:rPr>
        <w:t xml:space="preserve"> לקראת סוף חודש זה (יולי 2020),</w:t>
      </w:r>
      <w:r>
        <w:rPr>
          <w:rFonts w:ascii="David" w:hAnsi="David" w:hint="cs"/>
          <w:sz w:val="24"/>
          <w:rtl/>
        </w:rPr>
        <w:t xml:space="preserve"> ישנה היתכנות כי </w:t>
      </w:r>
      <w:r>
        <w:rPr>
          <w:rFonts w:ascii="David" w:hAnsi="David"/>
          <w:sz w:val="24"/>
          <w:rtl/>
        </w:rPr>
        <w:t xml:space="preserve">יצרן ישראלי ראשון </w:t>
      </w:r>
      <w:r>
        <w:rPr>
          <w:rFonts w:ascii="David" w:hAnsi="David" w:hint="cs"/>
          <w:sz w:val="24"/>
          <w:rtl/>
        </w:rPr>
        <w:t>י</w:t>
      </w:r>
      <w:r w:rsidRPr="004E4EDF">
        <w:rPr>
          <w:rFonts w:ascii="David" w:hAnsi="David"/>
          <w:sz w:val="24"/>
          <w:rtl/>
        </w:rPr>
        <w:t>קבל לידיו אישור ביחס לדגם פיגום המיוצר על ידו, אולם למיטב הבנת גורמי המקצוע בתחום – אין ביכולתו לתת מענה לכלל השוק</w:t>
      </w:r>
      <w:r>
        <w:rPr>
          <w:rFonts w:ascii="David" w:hAnsi="David" w:hint="cs"/>
          <w:sz w:val="24"/>
          <w:rtl/>
        </w:rPr>
        <w:t xml:space="preserve"> (המסתמך כיום על כ-10 יצרנים ויבואנים) עם כניסת הפעימה השנייה של התקנות לתוקף. מכל מקום חשוב לציין כי אף אם יהיו גופים  שבסוף חודש זה ישלימו קבלת אישור לדגם היוצר או מיובא על ידם, הרי שנדרשת קיומה של שרשרת אספקה  לכל אותם פיגומים לגביהם ניתן אישור </w:t>
      </w:r>
      <w:r>
        <w:rPr>
          <w:rFonts w:ascii="David" w:hAnsi="David"/>
          <w:sz w:val="24"/>
          <w:rtl/>
        </w:rPr>
        <w:t>–</w:t>
      </w:r>
      <w:r>
        <w:rPr>
          <w:rFonts w:ascii="David" w:hAnsi="David" w:hint="cs"/>
          <w:sz w:val="24"/>
          <w:rtl/>
        </w:rPr>
        <w:t xml:space="preserve"> ולכך יידרשו עוד שבועות רבים.</w:t>
      </w:r>
    </w:p>
    <w:p w:rsidR="00BE5F51" w:rsidRDefault="00BE5F51" w:rsidP="00BE5F51">
      <w:pPr>
        <w:pStyle w:val="af"/>
        <w:numPr>
          <w:ilvl w:val="0"/>
          <w:numId w:val="24"/>
        </w:numPr>
        <w:spacing w:after="120" w:line="360" w:lineRule="auto"/>
        <w:rPr>
          <w:rFonts w:ascii="David" w:hAnsi="David"/>
          <w:sz w:val="24"/>
        </w:rPr>
      </w:pPr>
      <w:r w:rsidRPr="008939D9">
        <w:rPr>
          <w:rFonts w:ascii="David" w:hAnsi="David"/>
          <w:b/>
          <w:bCs/>
          <w:sz w:val="24"/>
          <w:rtl/>
        </w:rPr>
        <w:t>הקמת ועדת מומחים במסגרת מכון התקנים, ש</w:t>
      </w:r>
      <w:r>
        <w:rPr>
          <w:rFonts w:ascii="David" w:hAnsi="David" w:hint="cs"/>
          <w:b/>
          <w:bCs/>
          <w:sz w:val="24"/>
          <w:rtl/>
        </w:rPr>
        <w:t xml:space="preserve">תבחן </w:t>
      </w:r>
      <w:r w:rsidRPr="008939D9">
        <w:rPr>
          <w:rFonts w:ascii="David" w:hAnsi="David"/>
          <w:b/>
          <w:bCs/>
          <w:sz w:val="24"/>
          <w:rtl/>
        </w:rPr>
        <w:t>אפשרות לשינוי התקן שאומץ ע"י מכון התקנים וזאת בדרך של קביעת בדיקה חליפית (</w:t>
      </w:r>
      <w:r>
        <w:rPr>
          <w:rFonts w:ascii="David" w:hAnsi="David" w:hint="cs"/>
          <w:b/>
          <w:bCs/>
          <w:sz w:val="24"/>
          <w:rtl/>
        </w:rPr>
        <w:t xml:space="preserve">למשל </w:t>
      </w:r>
      <w:r w:rsidRPr="008939D9">
        <w:rPr>
          <w:rFonts w:ascii="David" w:hAnsi="David"/>
          <w:b/>
          <w:bCs/>
          <w:sz w:val="24"/>
          <w:rtl/>
        </w:rPr>
        <w:t xml:space="preserve">בדרך של סימולציה ממוחשבת </w:t>
      </w:r>
      <w:r>
        <w:rPr>
          <w:rFonts w:ascii="David" w:hAnsi="David" w:hint="cs"/>
          <w:b/>
          <w:bCs/>
          <w:sz w:val="24"/>
          <w:rtl/>
        </w:rPr>
        <w:t>על פני חובת</w:t>
      </w:r>
      <w:r w:rsidRPr="008939D9">
        <w:rPr>
          <w:rFonts w:ascii="David" w:hAnsi="David"/>
          <w:b/>
          <w:bCs/>
          <w:sz w:val="24"/>
          <w:rtl/>
        </w:rPr>
        <w:t xml:space="preserve"> בדיקה פיזית) </w:t>
      </w:r>
      <w:r>
        <w:rPr>
          <w:rFonts w:ascii="David" w:hAnsi="David" w:hint="cs"/>
          <w:b/>
          <w:bCs/>
          <w:sz w:val="24"/>
          <w:rtl/>
        </w:rPr>
        <w:t xml:space="preserve">המהווה את החסם המרכזי כיום </w:t>
      </w:r>
      <w:r>
        <w:rPr>
          <w:rFonts w:ascii="David" w:hAnsi="David"/>
          <w:b/>
          <w:bCs/>
          <w:sz w:val="24"/>
          <w:rtl/>
        </w:rPr>
        <w:t>–</w:t>
      </w:r>
      <w:r>
        <w:rPr>
          <w:rFonts w:ascii="David" w:hAnsi="David" w:hint="cs"/>
          <w:b/>
          <w:bCs/>
          <w:sz w:val="24"/>
          <w:rtl/>
        </w:rPr>
        <w:t xml:space="preserve"> </w:t>
      </w:r>
      <w:r w:rsidRPr="00DF685A">
        <w:rPr>
          <w:rFonts w:ascii="David" w:hAnsi="David" w:hint="eastAsia"/>
          <w:sz w:val="24"/>
          <w:rtl/>
        </w:rPr>
        <w:t>ועדות</w:t>
      </w:r>
      <w:r w:rsidRPr="00DF685A">
        <w:rPr>
          <w:rFonts w:ascii="David" w:hAnsi="David"/>
          <w:sz w:val="24"/>
          <w:rtl/>
        </w:rPr>
        <w:t xml:space="preserve"> מומחים </w:t>
      </w:r>
      <w:r>
        <w:rPr>
          <w:rFonts w:ascii="David" w:hAnsi="David" w:hint="cs"/>
          <w:sz w:val="24"/>
          <w:rtl/>
        </w:rPr>
        <w:t>שתוקם תוכל לבחון באופן מקצועי האם בדיקה בדרך של סימולציה, הנהוגה בפועל בחלק מהמדינות, יכולה להוות חלופה לדרישה לבדיקה הפיזית הקיימת כיום לפי הוראות התקן שאומץ.</w:t>
      </w:r>
      <w:r>
        <w:rPr>
          <w:rFonts w:ascii="David" w:hAnsi="David" w:hint="cs"/>
          <w:b/>
          <w:bCs/>
          <w:sz w:val="24"/>
          <w:rtl/>
        </w:rPr>
        <w:t xml:space="preserve"> </w:t>
      </w:r>
      <w:r>
        <w:rPr>
          <w:rFonts w:ascii="David" w:hAnsi="David" w:hint="cs"/>
          <w:sz w:val="24"/>
          <w:rtl/>
        </w:rPr>
        <w:t>עם זאת, גם ביחס לחלופה זו צפוי להידרש טווח זמנים של מספר חודשים, הנדרש לשם השלמת הליך התקינה.</w:t>
      </w:r>
    </w:p>
    <w:tbl>
      <w:tblPr>
        <w:tblStyle w:val="af0"/>
        <w:bidiVisual/>
        <w:tblW w:w="0" w:type="auto"/>
        <w:tblLook w:val="04A0" w:firstRow="1" w:lastRow="0" w:firstColumn="1" w:lastColumn="0" w:noHBand="0" w:noVBand="1"/>
      </w:tblPr>
      <w:tblGrid>
        <w:gridCol w:w="909"/>
        <w:gridCol w:w="1891"/>
        <w:gridCol w:w="1108"/>
        <w:gridCol w:w="1170"/>
        <w:gridCol w:w="1227"/>
        <w:gridCol w:w="3055"/>
      </w:tblGrid>
      <w:tr w:rsidR="00BE5F51" w:rsidTr="0059435A">
        <w:tc>
          <w:tcPr>
            <w:tcW w:w="624" w:type="dxa"/>
          </w:tcPr>
          <w:p w:rsidR="00BE5F51" w:rsidRPr="008171F5" w:rsidRDefault="00BE5F51" w:rsidP="0059435A">
            <w:pPr>
              <w:spacing w:after="120"/>
              <w:rPr>
                <w:b/>
                <w:bCs/>
                <w:rtl/>
              </w:rPr>
            </w:pPr>
            <w:r w:rsidRPr="008171F5">
              <w:rPr>
                <w:rFonts w:hint="cs"/>
                <w:b/>
                <w:bCs/>
                <w:rtl/>
              </w:rPr>
              <w:t>מס'</w:t>
            </w:r>
          </w:p>
        </w:tc>
        <w:tc>
          <w:tcPr>
            <w:tcW w:w="1891" w:type="dxa"/>
          </w:tcPr>
          <w:p w:rsidR="00BE5F51" w:rsidRPr="008171F5" w:rsidRDefault="00BE5F51" w:rsidP="0059435A">
            <w:pPr>
              <w:spacing w:after="120"/>
              <w:rPr>
                <w:b/>
                <w:bCs/>
                <w:rtl/>
              </w:rPr>
            </w:pPr>
            <w:r w:rsidRPr="008171F5">
              <w:rPr>
                <w:rFonts w:hint="cs"/>
                <w:b/>
                <w:bCs/>
                <w:rtl/>
              </w:rPr>
              <w:t>חלופות</w:t>
            </w:r>
          </w:p>
        </w:tc>
        <w:tc>
          <w:tcPr>
            <w:tcW w:w="900" w:type="dxa"/>
          </w:tcPr>
          <w:p w:rsidR="00BE5F51" w:rsidRPr="008171F5" w:rsidRDefault="00BE5F51" w:rsidP="0059435A">
            <w:pPr>
              <w:spacing w:after="120"/>
              <w:rPr>
                <w:b/>
                <w:bCs/>
                <w:rtl/>
              </w:rPr>
            </w:pPr>
            <w:r w:rsidRPr="008171F5">
              <w:rPr>
                <w:rFonts w:hint="cs"/>
                <w:b/>
                <w:bCs/>
                <w:rtl/>
              </w:rPr>
              <w:t>עלות מדינה</w:t>
            </w:r>
          </w:p>
        </w:tc>
        <w:tc>
          <w:tcPr>
            <w:tcW w:w="1170" w:type="dxa"/>
          </w:tcPr>
          <w:p w:rsidR="00BE5F51" w:rsidRPr="008171F5" w:rsidRDefault="00BE5F51" w:rsidP="0059435A">
            <w:pPr>
              <w:spacing w:after="120"/>
              <w:rPr>
                <w:b/>
                <w:bCs/>
                <w:rtl/>
              </w:rPr>
            </w:pPr>
            <w:r w:rsidRPr="008171F5">
              <w:rPr>
                <w:rFonts w:hint="cs"/>
                <w:b/>
                <w:bCs/>
                <w:rtl/>
              </w:rPr>
              <w:t>עלות למשק</w:t>
            </w:r>
          </w:p>
        </w:tc>
        <w:tc>
          <w:tcPr>
            <w:tcW w:w="990" w:type="dxa"/>
          </w:tcPr>
          <w:p w:rsidR="00BE5F51" w:rsidRPr="008171F5" w:rsidRDefault="00BE5F51" w:rsidP="0059435A">
            <w:pPr>
              <w:spacing w:after="120"/>
              <w:rPr>
                <w:b/>
                <w:bCs/>
                <w:rtl/>
              </w:rPr>
            </w:pPr>
            <w:r w:rsidRPr="008171F5">
              <w:rPr>
                <w:rFonts w:hint="cs"/>
                <w:b/>
                <w:bCs/>
                <w:rtl/>
              </w:rPr>
              <w:t>ישימות</w:t>
            </w:r>
          </w:p>
        </w:tc>
        <w:tc>
          <w:tcPr>
            <w:tcW w:w="3055" w:type="dxa"/>
          </w:tcPr>
          <w:p w:rsidR="00BE5F51" w:rsidRPr="008171F5" w:rsidRDefault="00BE5F51" w:rsidP="0059435A">
            <w:pPr>
              <w:spacing w:after="120"/>
              <w:rPr>
                <w:b/>
                <w:bCs/>
                <w:rtl/>
              </w:rPr>
            </w:pPr>
            <w:r w:rsidRPr="008171F5">
              <w:rPr>
                <w:rFonts w:hint="cs"/>
                <w:b/>
                <w:bCs/>
                <w:rtl/>
              </w:rPr>
              <w:t>טווח זמנים לביצוע</w:t>
            </w:r>
          </w:p>
        </w:tc>
      </w:tr>
      <w:tr w:rsidR="00BE5F51" w:rsidTr="0059435A">
        <w:tc>
          <w:tcPr>
            <w:tcW w:w="624" w:type="dxa"/>
          </w:tcPr>
          <w:p w:rsidR="00BE5F51" w:rsidRDefault="00BE5F51" w:rsidP="0059435A">
            <w:pPr>
              <w:spacing w:after="120"/>
              <w:rPr>
                <w:rtl/>
              </w:rPr>
            </w:pPr>
            <w:r>
              <w:rPr>
                <w:rFonts w:hint="cs"/>
                <w:rtl/>
              </w:rPr>
              <w:t>1</w:t>
            </w:r>
          </w:p>
        </w:tc>
        <w:tc>
          <w:tcPr>
            <w:tcW w:w="1891" w:type="dxa"/>
          </w:tcPr>
          <w:p w:rsidR="00BE5F51" w:rsidRDefault="00BE5F51" w:rsidP="0059435A">
            <w:pPr>
              <w:spacing w:after="120"/>
              <w:rPr>
                <w:rtl/>
              </w:rPr>
            </w:pPr>
            <w:r>
              <w:rPr>
                <w:rFonts w:hint="cs"/>
                <w:rtl/>
              </w:rPr>
              <w:t>הקמת מתקן לקיום הבדיקה בישראל</w:t>
            </w:r>
          </w:p>
        </w:tc>
        <w:tc>
          <w:tcPr>
            <w:tcW w:w="900" w:type="dxa"/>
          </w:tcPr>
          <w:p w:rsidR="00BE5F51" w:rsidRDefault="00BE5F51" w:rsidP="0059435A">
            <w:pPr>
              <w:spacing w:after="120"/>
              <w:rPr>
                <w:rtl/>
              </w:rPr>
            </w:pPr>
            <w:r>
              <w:rPr>
                <w:rFonts w:hint="cs"/>
                <w:rtl/>
              </w:rPr>
              <w:t>גבוהה</w:t>
            </w:r>
          </w:p>
        </w:tc>
        <w:tc>
          <w:tcPr>
            <w:tcW w:w="1170" w:type="dxa"/>
          </w:tcPr>
          <w:p w:rsidR="00BE5F51" w:rsidRDefault="00BE5F51" w:rsidP="0059435A">
            <w:pPr>
              <w:spacing w:after="120"/>
              <w:rPr>
                <w:rtl/>
              </w:rPr>
            </w:pPr>
            <w:r>
              <w:rPr>
                <w:rFonts w:hint="cs"/>
                <w:rtl/>
              </w:rPr>
              <w:t>נמוכה</w:t>
            </w:r>
          </w:p>
        </w:tc>
        <w:tc>
          <w:tcPr>
            <w:tcW w:w="990" w:type="dxa"/>
          </w:tcPr>
          <w:p w:rsidR="00BE5F51" w:rsidRDefault="00BE5F51" w:rsidP="0059435A">
            <w:pPr>
              <w:spacing w:after="120"/>
              <w:rPr>
                <w:rtl/>
              </w:rPr>
            </w:pPr>
            <w:r>
              <w:rPr>
                <w:rFonts w:hint="cs"/>
                <w:rtl/>
              </w:rPr>
              <w:t>נמוכה</w:t>
            </w:r>
          </w:p>
        </w:tc>
        <w:tc>
          <w:tcPr>
            <w:tcW w:w="3055" w:type="dxa"/>
          </w:tcPr>
          <w:p w:rsidR="00BE5F51" w:rsidRDefault="00BE5F51" w:rsidP="0059435A">
            <w:pPr>
              <w:spacing w:after="120"/>
              <w:rPr>
                <w:rtl/>
              </w:rPr>
            </w:pPr>
            <w:r>
              <w:rPr>
                <w:rFonts w:hint="cs"/>
                <w:rtl/>
              </w:rPr>
              <w:t xml:space="preserve">ארוך </w:t>
            </w:r>
            <w:r>
              <w:rPr>
                <w:rtl/>
              </w:rPr>
              <w:t>–</w:t>
            </w:r>
            <w:r>
              <w:rPr>
                <w:rFonts w:hint="cs"/>
                <w:rtl/>
              </w:rPr>
              <w:t xml:space="preserve"> מעל שנה</w:t>
            </w:r>
          </w:p>
        </w:tc>
      </w:tr>
      <w:tr w:rsidR="00BE5F51" w:rsidTr="0059435A">
        <w:tc>
          <w:tcPr>
            <w:tcW w:w="624" w:type="dxa"/>
          </w:tcPr>
          <w:p w:rsidR="00BE5F51" w:rsidRDefault="00BE5F51" w:rsidP="0059435A">
            <w:pPr>
              <w:spacing w:after="120"/>
              <w:rPr>
                <w:rtl/>
              </w:rPr>
            </w:pPr>
            <w:r>
              <w:rPr>
                <w:rFonts w:hint="cs"/>
                <w:rtl/>
              </w:rPr>
              <w:t>2</w:t>
            </w:r>
          </w:p>
        </w:tc>
        <w:tc>
          <w:tcPr>
            <w:tcW w:w="1891" w:type="dxa"/>
          </w:tcPr>
          <w:p w:rsidR="00BE5F51" w:rsidRDefault="00BE5F51" w:rsidP="0059435A">
            <w:pPr>
              <w:spacing w:after="120"/>
              <w:rPr>
                <w:rtl/>
              </w:rPr>
            </w:pPr>
            <w:r>
              <w:rPr>
                <w:rFonts w:hint="cs"/>
                <w:rtl/>
              </w:rPr>
              <w:t>הכרה במעבדות בחו"ל לצורך ביצוע הבדיקה</w:t>
            </w:r>
          </w:p>
        </w:tc>
        <w:tc>
          <w:tcPr>
            <w:tcW w:w="900" w:type="dxa"/>
          </w:tcPr>
          <w:p w:rsidR="00BE5F51" w:rsidRDefault="00BE5F51" w:rsidP="0059435A">
            <w:pPr>
              <w:spacing w:after="120"/>
              <w:rPr>
                <w:rtl/>
              </w:rPr>
            </w:pPr>
            <w:r>
              <w:rPr>
                <w:rFonts w:hint="cs"/>
                <w:rtl/>
              </w:rPr>
              <w:t>נמוכה</w:t>
            </w:r>
          </w:p>
        </w:tc>
        <w:tc>
          <w:tcPr>
            <w:tcW w:w="1170" w:type="dxa"/>
          </w:tcPr>
          <w:p w:rsidR="00BE5F51" w:rsidRDefault="00BE5F51" w:rsidP="0059435A">
            <w:pPr>
              <w:spacing w:after="120"/>
              <w:rPr>
                <w:rtl/>
              </w:rPr>
            </w:pPr>
            <w:r>
              <w:rPr>
                <w:rFonts w:hint="cs"/>
                <w:rtl/>
              </w:rPr>
              <w:t>גבוהה</w:t>
            </w:r>
          </w:p>
        </w:tc>
        <w:tc>
          <w:tcPr>
            <w:tcW w:w="990" w:type="dxa"/>
          </w:tcPr>
          <w:p w:rsidR="00BE5F51" w:rsidRDefault="00BE5F51" w:rsidP="0059435A">
            <w:pPr>
              <w:spacing w:after="120"/>
              <w:rPr>
                <w:rtl/>
              </w:rPr>
            </w:pPr>
            <w:r>
              <w:rPr>
                <w:rFonts w:hint="cs"/>
                <w:rtl/>
              </w:rPr>
              <w:t>גבוהה</w:t>
            </w:r>
          </w:p>
        </w:tc>
        <w:tc>
          <w:tcPr>
            <w:tcW w:w="3055" w:type="dxa"/>
          </w:tcPr>
          <w:p w:rsidR="00BE5F51" w:rsidRDefault="00BE5F51" w:rsidP="0059435A">
            <w:pPr>
              <w:spacing w:after="120"/>
              <w:rPr>
                <w:rtl/>
              </w:rPr>
            </w:pPr>
            <w:r>
              <w:rPr>
                <w:rFonts w:hint="cs"/>
                <w:rtl/>
              </w:rPr>
              <w:t xml:space="preserve">בינוני </w:t>
            </w:r>
            <w:r>
              <w:rPr>
                <w:rtl/>
              </w:rPr>
              <w:t>–</w:t>
            </w:r>
            <w:r>
              <w:rPr>
                <w:rFonts w:hint="cs"/>
                <w:rtl/>
              </w:rPr>
              <w:t xml:space="preserve"> כבר קיימות מעבדות מוכרות, יצרנים נוספים צפויים לקבל אישור בשנה הקרובה</w:t>
            </w:r>
          </w:p>
        </w:tc>
      </w:tr>
      <w:tr w:rsidR="00BE5F51" w:rsidTr="0059435A">
        <w:tc>
          <w:tcPr>
            <w:tcW w:w="624" w:type="dxa"/>
          </w:tcPr>
          <w:p w:rsidR="00BE5F51" w:rsidRDefault="00BE5F51" w:rsidP="0059435A">
            <w:pPr>
              <w:spacing w:after="120"/>
              <w:rPr>
                <w:rtl/>
              </w:rPr>
            </w:pPr>
            <w:r>
              <w:rPr>
                <w:rFonts w:hint="cs"/>
                <w:rtl/>
              </w:rPr>
              <w:t>3</w:t>
            </w:r>
          </w:p>
        </w:tc>
        <w:tc>
          <w:tcPr>
            <w:tcW w:w="1891" w:type="dxa"/>
          </w:tcPr>
          <w:p w:rsidR="00BE5F51" w:rsidRDefault="00BE5F51" w:rsidP="0059435A">
            <w:pPr>
              <w:spacing w:after="120"/>
              <w:rPr>
                <w:rtl/>
              </w:rPr>
            </w:pPr>
            <w:r>
              <w:rPr>
                <w:rFonts w:hint="cs"/>
                <w:rtl/>
              </w:rPr>
              <w:t>דיון בוועדת מומחים מטעם מכון התקנים</w:t>
            </w:r>
          </w:p>
        </w:tc>
        <w:tc>
          <w:tcPr>
            <w:tcW w:w="900" w:type="dxa"/>
          </w:tcPr>
          <w:p w:rsidR="00BE5F51" w:rsidRDefault="00BE5F51" w:rsidP="0059435A">
            <w:pPr>
              <w:spacing w:after="120"/>
              <w:rPr>
                <w:rtl/>
              </w:rPr>
            </w:pPr>
            <w:r>
              <w:rPr>
                <w:rFonts w:hint="cs"/>
                <w:rtl/>
              </w:rPr>
              <w:t>נמוכה</w:t>
            </w:r>
          </w:p>
        </w:tc>
        <w:tc>
          <w:tcPr>
            <w:tcW w:w="1170" w:type="dxa"/>
          </w:tcPr>
          <w:p w:rsidR="00BE5F51" w:rsidRDefault="00BE5F51" w:rsidP="0059435A">
            <w:pPr>
              <w:spacing w:after="120"/>
              <w:rPr>
                <w:rtl/>
              </w:rPr>
            </w:pPr>
            <w:r>
              <w:rPr>
                <w:rFonts w:hint="cs"/>
                <w:rtl/>
              </w:rPr>
              <w:t>נמוכה</w:t>
            </w:r>
          </w:p>
        </w:tc>
        <w:tc>
          <w:tcPr>
            <w:tcW w:w="990" w:type="dxa"/>
          </w:tcPr>
          <w:p w:rsidR="00BE5F51" w:rsidRDefault="00BE5F51" w:rsidP="0059435A">
            <w:pPr>
              <w:spacing w:after="120"/>
              <w:rPr>
                <w:rtl/>
              </w:rPr>
            </w:pPr>
            <w:r>
              <w:rPr>
                <w:rFonts w:hint="cs"/>
                <w:rtl/>
              </w:rPr>
              <w:t>בינונית</w:t>
            </w:r>
          </w:p>
        </w:tc>
        <w:tc>
          <w:tcPr>
            <w:tcW w:w="3055" w:type="dxa"/>
          </w:tcPr>
          <w:p w:rsidR="00BE5F51" w:rsidRDefault="00BE5F51" w:rsidP="0059435A">
            <w:pPr>
              <w:spacing w:after="120"/>
              <w:rPr>
                <w:rtl/>
              </w:rPr>
            </w:pPr>
            <w:r>
              <w:rPr>
                <w:rFonts w:hint="cs"/>
                <w:rtl/>
              </w:rPr>
              <w:t xml:space="preserve">ארוך </w:t>
            </w:r>
            <w:r>
              <w:rPr>
                <w:rtl/>
              </w:rPr>
              <w:t>–</w:t>
            </w:r>
            <w:r>
              <w:rPr>
                <w:rFonts w:hint="cs"/>
                <w:rtl/>
              </w:rPr>
              <w:t xml:space="preserve"> בין מספר חודשים לשנה ומעלה. נדרש הן כינוס ועדת המומחים, דיון בוועדה והסקת מסקנות, ולאחר מכן דיון בוועדה הטכנית הרלוונטית לתקן</w:t>
            </w:r>
          </w:p>
        </w:tc>
      </w:tr>
    </w:tbl>
    <w:p w:rsidR="00BE5F51" w:rsidRDefault="00BE5F51" w:rsidP="00BE5F51">
      <w:pPr>
        <w:spacing w:after="120"/>
        <w:rPr>
          <w:rtl/>
        </w:rPr>
      </w:pPr>
    </w:p>
    <w:p w:rsidR="00BE5F51" w:rsidRDefault="00BE5F51" w:rsidP="00BE5F51">
      <w:pPr>
        <w:rPr>
          <w:rtl/>
        </w:rPr>
      </w:pPr>
      <w:r>
        <w:rPr>
          <w:rFonts w:hint="cs"/>
          <w:rtl/>
        </w:rPr>
        <w:t xml:space="preserve">לאור כל האמור לעיל, מטרת התקנות המוצעות הינה לדחות את יישום החובה לאישור התאמת דגם הפיגום להוראות התקן, למשך שנה נוספת, לגבי הפעימה השנייה ולגבי הפעימה הראשונה, שכבר נכנסה לתוקף </w:t>
      </w:r>
      <w:r>
        <w:rPr>
          <w:rtl/>
        </w:rPr>
        <w:t>–</w:t>
      </w:r>
      <w:r>
        <w:rPr>
          <w:rFonts w:hint="cs"/>
          <w:rtl/>
        </w:rPr>
        <w:t xml:space="preserve"> לקבוע, כהוראת שעה, כי היא תבוטל למשך השנה ממועד אישור התקנות , צעד שמשמעותו דחייה של יישום הנדרש בתקנה למשך שנה, כאשר בפרק הזמן של דחייה זו ירוכזו המאמצים על מנת להבטיח ישימות של עמידה בתקן הנדרש יחד עם מכון התקנים וגורמי השטח השונים. במקביל, בכוונת משרד העבודה להמשיך ולקדם פתרון ישים נוסף </w:t>
      </w:r>
      <w:r>
        <w:rPr>
          <w:rtl/>
        </w:rPr>
        <w:t>–</w:t>
      </w:r>
      <w:r>
        <w:rPr>
          <w:rFonts w:hint="cs"/>
          <w:rtl/>
        </w:rPr>
        <w:t xml:space="preserve"> של הקמת ועדת מומחים, במסגרת מכון התקנים, אשר תבחן אפשרות לשינוי התקן שאומץ </w:t>
      </w:r>
      <w:r>
        <w:rPr>
          <w:rFonts w:hint="cs"/>
          <w:rtl/>
        </w:rPr>
        <w:lastRenderedPageBreak/>
        <w:t>(חלופה 3). זאת כמובן לצד החלופה השנייה, של הכרה במעבדות בחו"ל, אשר כאמור לעיל כבר החלה לקרום עור וגידים, וקיימת היתכנות שיצרן ישראלי ראשון יקבל לידיו בקרוב אישור לדגם פיגום המיוצר על ידו אשר נבדק במעבדה בחו"ל, ובעקבותיו יצרנים נוספים</w:t>
      </w:r>
    </w:p>
    <w:sectPr w:rsidR="00BE5F51" w:rsidSect="00111F55">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E5" w:rsidRDefault="008155E5" w:rsidP="001E511A">
      <w:pPr>
        <w:spacing w:line="240" w:lineRule="auto"/>
      </w:pPr>
      <w:r>
        <w:separator/>
      </w:r>
    </w:p>
  </w:endnote>
  <w:endnote w:type="continuationSeparator" w:id="0">
    <w:p w:rsidR="008155E5" w:rsidRDefault="008155E5" w:rsidP="001E5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E5" w:rsidRDefault="008155E5" w:rsidP="001E511A">
      <w:pPr>
        <w:spacing w:line="240" w:lineRule="auto"/>
      </w:pPr>
      <w:r>
        <w:separator/>
      </w:r>
    </w:p>
  </w:footnote>
  <w:footnote w:type="continuationSeparator" w:id="0">
    <w:p w:rsidR="008155E5" w:rsidRDefault="008155E5" w:rsidP="001E511A">
      <w:pPr>
        <w:spacing w:line="240" w:lineRule="auto"/>
      </w:pPr>
      <w:r>
        <w:continuationSeparator/>
      </w:r>
    </w:p>
  </w:footnote>
  <w:footnote w:id="1">
    <w:p w:rsidR="001E511A" w:rsidRPr="00FA6694" w:rsidRDefault="001E511A" w:rsidP="001E511A">
      <w:pPr>
        <w:pStyle w:val="a5"/>
        <w:rPr>
          <w:rtl/>
        </w:rPr>
      </w:pPr>
      <w:r w:rsidRPr="00FA6694">
        <w:rPr>
          <w:rStyle w:val="a7"/>
        </w:rPr>
        <w:footnoteRef/>
      </w:r>
      <w:r w:rsidRPr="00FA6694">
        <w:rPr>
          <w:rtl/>
        </w:rPr>
        <w:t xml:space="preserve"> </w:t>
      </w:r>
      <w:r>
        <w:rPr>
          <w:rFonts w:hint="cs"/>
          <w:rtl/>
        </w:rPr>
        <w:t>דיני מדינת ישראל [נוסח חדש 16, עמ' 337;</w:t>
      </w:r>
    </w:p>
  </w:footnote>
  <w:footnote w:id="2">
    <w:p w:rsidR="008D74FD" w:rsidRDefault="008D74FD">
      <w:pPr>
        <w:pStyle w:val="a5"/>
        <w:rPr>
          <w:rtl/>
        </w:rPr>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התשע"ט</w:t>
      </w:r>
      <w:proofErr w:type="spellEnd"/>
      <w:r>
        <w:rPr>
          <w:rFonts w:hint="cs"/>
          <w:rtl/>
        </w:rPr>
        <w:t>, עמ' 1907;</w:t>
      </w:r>
    </w:p>
  </w:footnote>
  <w:footnote w:id="3">
    <w:p w:rsidR="0056629D" w:rsidRPr="0056629D" w:rsidRDefault="0056629D">
      <w:pPr>
        <w:pStyle w:val="a5"/>
        <w:rPr>
          <w:rtl/>
        </w:rPr>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התשמ"ח</w:t>
      </w:r>
      <w:proofErr w:type="spellEnd"/>
      <w:r>
        <w:rPr>
          <w:rFonts w:hint="cs"/>
          <w:rtl/>
        </w:rPr>
        <w:t xml:space="preserve">, עמ' 388; </w:t>
      </w:r>
      <w:proofErr w:type="spellStart"/>
      <w:r>
        <w:rPr>
          <w:rFonts w:hint="cs"/>
          <w:rtl/>
        </w:rPr>
        <w:t>ק"ת</w:t>
      </w:r>
      <w:proofErr w:type="spellEnd"/>
      <w:r>
        <w:rPr>
          <w:rFonts w:hint="cs"/>
          <w:rtl/>
        </w:rPr>
        <w:t xml:space="preserve"> </w:t>
      </w:r>
      <w:proofErr w:type="spellStart"/>
      <w:r>
        <w:rPr>
          <w:rFonts w:hint="cs"/>
          <w:rtl/>
        </w:rPr>
        <w:t>התשע"ט</w:t>
      </w:r>
      <w:proofErr w:type="spellEnd"/>
      <w:r>
        <w:rPr>
          <w:rFonts w:hint="cs"/>
          <w:rtl/>
        </w:rPr>
        <w:t>, עמ' 1907.</w:t>
      </w:r>
    </w:p>
  </w:footnote>
  <w:footnote w:id="4">
    <w:p w:rsidR="00BE5F51" w:rsidRDefault="00BE5F51" w:rsidP="00BE5F51">
      <w:pPr>
        <w:pStyle w:val="a5"/>
      </w:pPr>
      <w:r>
        <w:rPr>
          <w:rStyle w:val="a7"/>
        </w:rPr>
        <w:footnoteRef/>
      </w:r>
      <w:r>
        <w:rPr>
          <w:rtl/>
        </w:rPr>
        <w:t xml:space="preserve"> </w:t>
      </w:r>
      <w:r>
        <w:rPr>
          <w:rFonts w:cs="Times New Roman" w:hint="cs"/>
          <w:rtl/>
        </w:rPr>
        <w:t xml:space="preserve">תקנות אלו פורסמו בקובץ תקנות </w:t>
      </w:r>
      <w:r>
        <w:rPr>
          <w:rFonts w:hint="cs"/>
          <w:rtl/>
        </w:rPr>
        <w:t xml:space="preserve">8157, </w:t>
      </w:r>
      <w:r>
        <w:rPr>
          <w:rFonts w:cs="Times New Roman" w:hint="cs"/>
          <w:rtl/>
        </w:rPr>
        <w:t>עמ</w:t>
      </w:r>
      <w:r>
        <w:rPr>
          <w:rFonts w:hint="cs"/>
          <w:rtl/>
        </w:rPr>
        <w:t xml:space="preserve">' 1907 </w:t>
      </w:r>
      <w:r>
        <w:rPr>
          <w:rtl/>
        </w:rPr>
        <w:t>–</w:t>
      </w:r>
      <w:r>
        <w:rPr>
          <w:rFonts w:hint="cs"/>
          <w:rtl/>
        </w:rPr>
        <w:t xml:space="preserve"> 1911. </w:t>
      </w:r>
    </w:p>
  </w:footnote>
  <w:footnote w:id="5">
    <w:p w:rsidR="00BE5F51" w:rsidRDefault="00BE5F51" w:rsidP="00BE5F51">
      <w:pPr>
        <w:pStyle w:val="a5"/>
      </w:pPr>
      <w:r>
        <w:rPr>
          <w:rStyle w:val="a7"/>
        </w:rPr>
        <w:footnoteRef/>
      </w:r>
      <w:r>
        <w:rPr>
          <w:rtl/>
        </w:rPr>
        <w:t xml:space="preserve"> </w:t>
      </w:r>
      <w:hyperlink r:id="rId1" w:history="1">
        <w:r w:rsidRPr="00F61458">
          <w:rPr>
            <w:rStyle w:val="Hyperlink"/>
            <w:rFonts w:cs="Times New Roman" w:hint="cs"/>
            <w:rtl/>
          </w:rPr>
          <w:t xml:space="preserve">הליך הערכת השפעות רגולציה </w:t>
        </w:r>
        <w:r w:rsidRPr="00F61458">
          <w:rPr>
            <w:rStyle w:val="Hyperlink"/>
            <w:rFonts w:hint="cs"/>
            <w:rtl/>
          </w:rPr>
          <w:t>(</w:t>
        </w:r>
        <w:r w:rsidRPr="00F61458">
          <w:rPr>
            <w:rStyle w:val="Hyperlink"/>
            <w:rFonts w:hint="cs"/>
          </w:rPr>
          <w:t>RIA</w:t>
        </w:r>
        <w:r w:rsidRPr="00F61458">
          <w:rPr>
            <w:rStyle w:val="Hyperlink"/>
            <w:rFonts w:hint="cs"/>
            <w:rtl/>
          </w:rPr>
          <w:t xml:space="preserve">) </w:t>
        </w:r>
        <w:r w:rsidRPr="00F61458">
          <w:rPr>
            <w:rStyle w:val="Hyperlink"/>
            <w:rFonts w:cs="Times New Roman" w:hint="cs"/>
            <w:rtl/>
          </w:rPr>
          <w:t>שיפור הבטיחות בפיגומים בישראל</w:t>
        </w:r>
        <w:r w:rsidRPr="00F61458">
          <w:rPr>
            <w:rStyle w:val="Hyperlink"/>
            <w:rFonts w:hint="cs"/>
            <w:rtl/>
          </w:rPr>
          <w:t>, 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3C74"/>
    <w:multiLevelType w:val="hybridMultilevel"/>
    <w:tmpl w:val="BE6CC5F2"/>
    <w:lvl w:ilvl="0" w:tplc="6062248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F25AD3"/>
    <w:multiLevelType w:val="hybridMultilevel"/>
    <w:tmpl w:val="F93A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C434C"/>
    <w:multiLevelType w:val="hybridMultilevel"/>
    <w:tmpl w:val="CD48E192"/>
    <w:lvl w:ilvl="0" w:tplc="B4A2225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E3152E5"/>
    <w:multiLevelType w:val="hybridMultilevel"/>
    <w:tmpl w:val="6D2230F8"/>
    <w:lvl w:ilvl="0" w:tplc="42B223F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66B90F17"/>
    <w:multiLevelType w:val="hybridMultilevel"/>
    <w:tmpl w:val="F3302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2"/>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5"/>
    <w:lvlOverride w:ilvl="0">
      <w:startOverride w:val="1"/>
    </w:lvlOverride>
  </w:num>
  <w:num w:numId="18">
    <w:abstractNumId w:val="11"/>
  </w:num>
  <w:num w:numId="19">
    <w:abstractNumId w:val="16"/>
  </w:num>
  <w:num w:numId="20">
    <w:abstractNumId w:val="13"/>
  </w:num>
  <w:num w:numId="21">
    <w:abstractNumId w:val="14"/>
  </w:num>
  <w:num w:numId="22">
    <w:abstractNumId w:val="17"/>
  </w:num>
  <w:num w:numId="23">
    <w:abstractNumId w:val="10"/>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55"/>
    <w:rsid w:val="00052E96"/>
    <w:rsid w:val="00072BA7"/>
    <w:rsid w:val="00081A0F"/>
    <w:rsid w:val="00111F55"/>
    <w:rsid w:val="001D1A2A"/>
    <w:rsid w:val="001E511A"/>
    <w:rsid w:val="0021150F"/>
    <w:rsid w:val="00302987"/>
    <w:rsid w:val="00381CE8"/>
    <w:rsid w:val="003D0BD5"/>
    <w:rsid w:val="003D2B3E"/>
    <w:rsid w:val="00406B83"/>
    <w:rsid w:val="004310DD"/>
    <w:rsid w:val="00433CCC"/>
    <w:rsid w:val="00460AA6"/>
    <w:rsid w:val="00466FC1"/>
    <w:rsid w:val="00485C07"/>
    <w:rsid w:val="004B185B"/>
    <w:rsid w:val="004C6E97"/>
    <w:rsid w:val="004F4E0C"/>
    <w:rsid w:val="0056629D"/>
    <w:rsid w:val="00592251"/>
    <w:rsid w:val="00594147"/>
    <w:rsid w:val="005971BB"/>
    <w:rsid w:val="005A067D"/>
    <w:rsid w:val="005A1DFE"/>
    <w:rsid w:val="005F5653"/>
    <w:rsid w:val="0065755B"/>
    <w:rsid w:val="00695858"/>
    <w:rsid w:val="006E3836"/>
    <w:rsid w:val="007E7AA4"/>
    <w:rsid w:val="007F68A5"/>
    <w:rsid w:val="008155E5"/>
    <w:rsid w:val="008D74FD"/>
    <w:rsid w:val="008F6541"/>
    <w:rsid w:val="00904960"/>
    <w:rsid w:val="00913413"/>
    <w:rsid w:val="00914A19"/>
    <w:rsid w:val="00990D86"/>
    <w:rsid w:val="009C77B3"/>
    <w:rsid w:val="009D67C4"/>
    <w:rsid w:val="00A14589"/>
    <w:rsid w:val="00A27E3B"/>
    <w:rsid w:val="00A43214"/>
    <w:rsid w:val="00A913CB"/>
    <w:rsid w:val="00B364C2"/>
    <w:rsid w:val="00BE47BF"/>
    <w:rsid w:val="00BE5F51"/>
    <w:rsid w:val="00C05BFF"/>
    <w:rsid w:val="00C10762"/>
    <w:rsid w:val="00C67A16"/>
    <w:rsid w:val="00C96B7B"/>
    <w:rsid w:val="00CA0A4D"/>
    <w:rsid w:val="00D44467"/>
    <w:rsid w:val="00DA74EB"/>
    <w:rsid w:val="00E05E3D"/>
    <w:rsid w:val="00E64323"/>
    <w:rsid w:val="00E64478"/>
    <w:rsid w:val="00E937EF"/>
    <w:rsid w:val="00EB27EE"/>
    <w:rsid w:val="00ED17AB"/>
    <w:rsid w:val="00F338BD"/>
    <w:rsid w:val="00FA1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AC7FC-2CB7-412F-90DC-E9C8FD45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F55"/>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111F55"/>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11F55"/>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11F55"/>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11F55"/>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11F55"/>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11F55"/>
    <w:rPr>
      <w:rFonts w:asciiTheme="majorHAnsi" w:eastAsiaTheme="majorEastAsia" w:hAnsiTheme="majorHAnsi" w:cs="David"/>
      <w:bCs/>
      <w:sz w:val="32"/>
      <w:szCs w:val="36"/>
    </w:rPr>
  </w:style>
  <w:style w:type="character" w:customStyle="1" w:styleId="40">
    <w:name w:val="כותרת 4 תו"/>
    <w:basedOn w:val="a0"/>
    <w:link w:val="4"/>
    <w:uiPriority w:val="9"/>
    <w:rsid w:val="00111F55"/>
    <w:rPr>
      <w:rFonts w:ascii="David" w:hAnsi="David" w:cs="David"/>
      <w:b/>
      <w:bCs/>
      <w:color w:val="000000" w:themeColor="text1"/>
      <w:sz w:val="24"/>
      <w:szCs w:val="28"/>
    </w:rPr>
  </w:style>
  <w:style w:type="paragraph" w:customStyle="1" w:styleId="TableText">
    <w:name w:val="Table Text"/>
    <w:basedOn w:val="a"/>
    <w:rsid w:val="00111F55"/>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11F55"/>
    <w:pPr>
      <w:outlineLvl w:val="2"/>
    </w:pPr>
  </w:style>
  <w:style w:type="paragraph" w:customStyle="1" w:styleId="TableBlock">
    <w:name w:val="Table Block"/>
    <w:basedOn w:val="TableText"/>
    <w:rsid w:val="00111F55"/>
    <w:pPr>
      <w:jc w:val="both"/>
    </w:pPr>
  </w:style>
  <w:style w:type="paragraph" w:customStyle="1" w:styleId="TableHead">
    <w:name w:val="Table Head"/>
    <w:basedOn w:val="TableText"/>
    <w:rsid w:val="00111F55"/>
    <w:pPr>
      <w:jc w:val="center"/>
      <w:outlineLvl w:val="1"/>
    </w:pPr>
    <w:rPr>
      <w:b/>
      <w:bCs/>
    </w:rPr>
  </w:style>
  <w:style w:type="paragraph" w:customStyle="1" w:styleId="HeadMitparsemetBaze">
    <w:name w:val="Head MitparsemetBaze"/>
    <w:basedOn w:val="a"/>
    <w:rsid w:val="00111F55"/>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11F55"/>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111F55"/>
    <w:pPr>
      <w:tabs>
        <w:tab w:val="left" w:pos="680"/>
        <w:tab w:val="left" w:pos="1020"/>
      </w:tabs>
      <w:ind w:firstLine="0"/>
    </w:pPr>
  </w:style>
  <w:style w:type="paragraph" w:customStyle="1" w:styleId="HeadDivreiHesber">
    <w:name w:val="Head DivreiHesber"/>
    <w:basedOn w:val="a"/>
    <w:rsid w:val="00111F55"/>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111F55"/>
    <w:rPr>
      <w:rFonts w:asciiTheme="majorHAnsi" w:eastAsiaTheme="majorEastAsia" w:hAnsiTheme="majorHAnsi" w:cs="David"/>
      <w:bCs/>
      <w:sz w:val="26"/>
      <w:szCs w:val="36"/>
      <w:u w:val="single"/>
    </w:rPr>
  </w:style>
  <w:style w:type="character" w:customStyle="1" w:styleId="30">
    <w:name w:val="כותרת 3 תו"/>
    <w:basedOn w:val="a0"/>
    <w:link w:val="3"/>
    <w:rsid w:val="00111F55"/>
    <w:rPr>
      <w:rFonts w:asciiTheme="majorHAnsi" w:eastAsiaTheme="majorEastAsia" w:hAnsiTheme="majorHAnsi" w:cs="David"/>
      <w:sz w:val="24"/>
      <w:szCs w:val="28"/>
      <w:u w:val="double"/>
    </w:rPr>
  </w:style>
  <w:style w:type="character" w:customStyle="1" w:styleId="50">
    <w:name w:val="כותרת 5 תו"/>
    <w:basedOn w:val="a0"/>
    <w:link w:val="5"/>
    <w:uiPriority w:val="9"/>
    <w:rsid w:val="00111F55"/>
    <w:rPr>
      <w:rFonts w:ascii="David" w:hAnsi="David" w:cs="David"/>
      <w:color w:val="000000" w:themeColor="text1"/>
      <w:sz w:val="24"/>
      <w:szCs w:val="24"/>
    </w:rPr>
  </w:style>
  <w:style w:type="paragraph" w:customStyle="1" w:styleId="HeadHatzaotHok4Futer">
    <w:name w:val="Head HatzaotHok4Futer"/>
    <w:basedOn w:val="HeadHatzaotHok"/>
    <w:rsid w:val="00111F55"/>
    <w:pPr>
      <w:spacing w:before="120" w:after="120"/>
    </w:pPr>
    <w:rPr>
      <w:color w:val="FF0000"/>
      <w:w w:val="80"/>
    </w:rPr>
  </w:style>
  <w:style w:type="paragraph" w:styleId="a3">
    <w:name w:val="endnote text"/>
    <w:basedOn w:val="a"/>
    <w:link w:val="a4"/>
    <w:semiHidden/>
    <w:rsid w:val="00111F55"/>
    <w:pPr>
      <w:ind w:left="227" w:hanging="227"/>
    </w:pPr>
    <w:rPr>
      <w:sz w:val="14"/>
      <w:szCs w:val="22"/>
    </w:rPr>
  </w:style>
  <w:style w:type="character" w:customStyle="1" w:styleId="a4">
    <w:name w:val="טקסט הערת סיום תו"/>
    <w:basedOn w:val="a0"/>
    <w:link w:val="a3"/>
    <w:semiHidden/>
    <w:rsid w:val="00111F55"/>
    <w:rPr>
      <w:rFonts w:ascii="David" w:hAnsi="David" w:cs="David"/>
      <w:sz w:val="14"/>
    </w:rPr>
  </w:style>
  <w:style w:type="paragraph" w:customStyle="1" w:styleId="TableInnerSideHeading">
    <w:name w:val="Table InnerSideHeading"/>
    <w:basedOn w:val="TableSideHeading"/>
    <w:rsid w:val="00111F55"/>
    <w:pPr>
      <w:outlineLvl w:val="9"/>
    </w:pPr>
  </w:style>
  <w:style w:type="paragraph" w:customStyle="1" w:styleId="Hesber">
    <w:name w:val="Hesber"/>
    <w:basedOn w:val="a"/>
    <w:rsid w:val="00111F55"/>
    <w:pPr>
      <w:snapToGrid w:val="0"/>
      <w:ind w:left="0" w:firstLine="340"/>
    </w:pPr>
    <w:rPr>
      <w:rFonts w:ascii="Arial" w:eastAsia="Arial Unicode MS" w:hAnsi="Arial"/>
      <w:snapToGrid w:val="0"/>
      <w:sz w:val="20"/>
      <w:szCs w:val="26"/>
    </w:rPr>
  </w:style>
  <w:style w:type="paragraph" w:styleId="a5">
    <w:name w:val="footnote text"/>
    <w:basedOn w:val="a"/>
    <w:link w:val="a6"/>
    <w:autoRedefine/>
    <w:uiPriority w:val="99"/>
    <w:semiHidden/>
    <w:rsid w:val="00111F55"/>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semiHidden/>
    <w:rsid w:val="00111F55"/>
    <w:rPr>
      <w:rFonts w:ascii="Arial" w:eastAsia="Arial Unicode MS" w:hAnsi="Arial" w:cs="David"/>
      <w:snapToGrid w:val="0"/>
      <w:sz w:val="14"/>
      <w:szCs w:val="20"/>
    </w:rPr>
  </w:style>
  <w:style w:type="character" w:styleId="a7">
    <w:name w:val="footnote reference"/>
    <w:aliases w:val="Footnote Reference"/>
    <w:basedOn w:val="a0"/>
    <w:uiPriority w:val="99"/>
    <w:semiHidden/>
    <w:rsid w:val="00111F55"/>
    <w:rPr>
      <w:vertAlign w:val="superscript"/>
    </w:rPr>
  </w:style>
  <w:style w:type="paragraph" w:customStyle="1" w:styleId="HesberHeading">
    <w:name w:val="Hesber Heading"/>
    <w:basedOn w:val="Hesber"/>
    <w:rsid w:val="00111F55"/>
    <w:pPr>
      <w:tabs>
        <w:tab w:val="left" w:pos="624"/>
        <w:tab w:val="left" w:pos="1247"/>
      </w:tabs>
    </w:pPr>
    <w:rPr>
      <w:b/>
      <w:bCs/>
    </w:rPr>
  </w:style>
  <w:style w:type="paragraph" w:customStyle="1" w:styleId="HesberWriters">
    <w:name w:val="Hesber Writers"/>
    <w:basedOn w:val="Hesber"/>
    <w:rsid w:val="00111F55"/>
    <w:pPr>
      <w:spacing w:before="120" w:after="120"/>
      <w:ind w:left="1418"/>
      <w:jc w:val="right"/>
    </w:pPr>
    <w:rPr>
      <w:b/>
      <w:bCs/>
    </w:rPr>
  </w:style>
  <w:style w:type="character" w:styleId="a8">
    <w:name w:val="endnote reference"/>
    <w:basedOn w:val="a0"/>
    <w:semiHidden/>
    <w:rsid w:val="00111F55"/>
    <w:rPr>
      <w:vertAlign w:val="superscript"/>
    </w:rPr>
  </w:style>
  <w:style w:type="paragraph" w:customStyle="1" w:styleId="TableBlockOutdent">
    <w:name w:val="Table BlockOutdent"/>
    <w:basedOn w:val="TableBlock"/>
    <w:rsid w:val="00111F55"/>
    <w:pPr>
      <w:ind w:left="624" w:hanging="624"/>
    </w:pPr>
  </w:style>
  <w:style w:type="paragraph" w:styleId="a9">
    <w:name w:val="header"/>
    <w:basedOn w:val="a"/>
    <w:link w:val="aa"/>
    <w:rsid w:val="00111F55"/>
    <w:pPr>
      <w:tabs>
        <w:tab w:val="center" w:pos="4153"/>
        <w:tab w:val="right" w:pos="8306"/>
      </w:tabs>
    </w:pPr>
  </w:style>
  <w:style w:type="character" w:customStyle="1" w:styleId="aa">
    <w:name w:val="כותרת עליונה תו"/>
    <w:basedOn w:val="a0"/>
    <w:link w:val="a9"/>
    <w:rsid w:val="00111F55"/>
    <w:rPr>
      <w:rFonts w:ascii="David" w:hAnsi="David" w:cs="David"/>
      <w:sz w:val="24"/>
      <w:szCs w:val="24"/>
    </w:rPr>
  </w:style>
  <w:style w:type="paragraph" w:styleId="ab">
    <w:name w:val="footer"/>
    <w:basedOn w:val="a"/>
    <w:link w:val="ac"/>
    <w:rsid w:val="00111F55"/>
    <w:pPr>
      <w:tabs>
        <w:tab w:val="center" w:pos="4153"/>
        <w:tab w:val="right" w:pos="8306"/>
      </w:tabs>
    </w:pPr>
  </w:style>
  <w:style w:type="character" w:customStyle="1" w:styleId="ac">
    <w:name w:val="כותרת תחתונה תו"/>
    <w:basedOn w:val="a0"/>
    <w:link w:val="ab"/>
    <w:rsid w:val="00111F55"/>
    <w:rPr>
      <w:rFonts w:ascii="David" w:hAnsi="David" w:cs="David"/>
      <w:sz w:val="24"/>
      <w:szCs w:val="24"/>
    </w:rPr>
  </w:style>
  <w:style w:type="character" w:styleId="ad">
    <w:name w:val="page number"/>
    <w:basedOn w:val="a0"/>
    <w:rsid w:val="00111F55"/>
  </w:style>
  <w:style w:type="paragraph" w:customStyle="1" w:styleId="Cover1-Reshumot">
    <w:name w:val="Cover 1-Reshumot"/>
    <w:basedOn w:val="a"/>
    <w:rsid w:val="00111F55"/>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11F55"/>
    <w:rPr>
      <w:sz w:val="36"/>
      <w:szCs w:val="52"/>
    </w:rPr>
  </w:style>
  <w:style w:type="paragraph" w:customStyle="1" w:styleId="Cover3-Haknesset">
    <w:name w:val="Cover 3-Haknesset"/>
    <w:basedOn w:val="Cover1-Reshumot"/>
    <w:rsid w:val="00111F55"/>
    <w:rPr>
      <w:b/>
      <w:bCs/>
      <w:spacing w:val="60"/>
    </w:rPr>
  </w:style>
  <w:style w:type="paragraph" w:customStyle="1" w:styleId="Cover4-Date">
    <w:name w:val="Cover 4-Date"/>
    <w:basedOn w:val="a"/>
    <w:rsid w:val="00111F55"/>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111F55"/>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111F55"/>
    <w:pPr>
      <w:widowControl/>
      <w:spacing w:before="120" w:after="120"/>
      <w:outlineLvl w:val="9"/>
    </w:pPr>
    <w:rPr>
      <w:rtl/>
      <w:cs/>
    </w:rPr>
  </w:style>
  <w:style w:type="paragraph" w:styleId="TOC1">
    <w:name w:val="toc 1"/>
    <w:basedOn w:val="a"/>
    <w:next w:val="a"/>
    <w:autoRedefine/>
    <w:uiPriority w:val="39"/>
    <w:unhideWhenUsed/>
    <w:rsid w:val="00111F55"/>
    <w:pPr>
      <w:tabs>
        <w:tab w:val="right" w:leader="dot" w:pos="9629"/>
      </w:tabs>
      <w:spacing w:after="100"/>
    </w:pPr>
    <w:rPr>
      <w:bCs/>
      <w:szCs w:val="22"/>
    </w:rPr>
  </w:style>
  <w:style w:type="paragraph" w:styleId="TOC2">
    <w:name w:val="toc 2"/>
    <w:basedOn w:val="a"/>
    <w:next w:val="a"/>
    <w:uiPriority w:val="39"/>
    <w:unhideWhenUsed/>
    <w:rsid w:val="00111F55"/>
    <w:pPr>
      <w:tabs>
        <w:tab w:val="right" w:leader="dot" w:pos="9628"/>
      </w:tabs>
      <w:spacing w:after="100"/>
    </w:pPr>
    <w:rPr>
      <w:szCs w:val="22"/>
    </w:rPr>
  </w:style>
  <w:style w:type="character" w:styleId="Hyperlink">
    <w:name w:val="Hyperlink"/>
    <w:basedOn w:val="a0"/>
    <w:uiPriority w:val="99"/>
    <w:unhideWhenUsed/>
    <w:rsid w:val="00111F55"/>
    <w:rPr>
      <w:color w:val="0563C1" w:themeColor="hyperlink"/>
      <w:u w:val="single"/>
    </w:rPr>
  </w:style>
  <w:style w:type="paragraph" w:styleId="TOC3">
    <w:name w:val="toc 3"/>
    <w:basedOn w:val="a"/>
    <w:next w:val="a"/>
    <w:uiPriority w:val="39"/>
    <w:unhideWhenUsed/>
    <w:rsid w:val="00111F55"/>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111F55"/>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11F55"/>
    <w:pPr>
      <w:tabs>
        <w:tab w:val="right" w:leader="dot" w:pos="9628"/>
      </w:tabs>
      <w:spacing w:after="100"/>
      <w:ind w:left="567"/>
    </w:pPr>
    <w:rPr>
      <w:szCs w:val="22"/>
    </w:rPr>
  </w:style>
  <w:style w:type="paragraph" w:styleId="TOC6">
    <w:name w:val="toc 6"/>
    <w:basedOn w:val="a"/>
    <w:next w:val="a"/>
    <w:autoRedefine/>
    <w:semiHidden/>
    <w:unhideWhenUsed/>
    <w:rsid w:val="00111F55"/>
    <w:pPr>
      <w:spacing w:after="100"/>
      <w:ind w:left="850"/>
    </w:pPr>
  </w:style>
  <w:style w:type="paragraph" w:styleId="TOC7">
    <w:name w:val="toc 7"/>
    <w:basedOn w:val="a"/>
    <w:next w:val="a"/>
    <w:autoRedefine/>
    <w:semiHidden/>
    <w:unhideWhenUsed/>
    <w:rsid w:val="00111F55"/>
    <w:pPr>
      <w:spacing w:after="100"/>
      <w:ind w:left="1020"/>
    </w:pPr>
  </w:style>
  <w:style w:type="paragraph" w:styleId="TOC8">
    <w:name w:val="toc 8"/>
    <w:basedOn w:val="a"/>
    <w:next w:val="a"/>
    <w:autoRedefine/>
    <w:semiHidden/>
    <w:unhideWhenUsed/>
    <w:rsid w:val="00111F55"/>
    <w:pPr>
      <w:spacing w:after="100"/>
      <w:ind w:left="1190"/>
    </w:pPr>
  </w:style>
  <w:style w:type="paragraph" w:styleId="TOC9">
    <w:name w:val="toc 9"/>
    <w:basedOn w:val="a"/>
    <w:next w:val="a"/>
    <w:autoRedefine/>
    <w:semiHidden/>
    <w:unhideWhenUsed/>
    <w:rsid w:val="00111F55"/>
    <w:pPr>
      <w:spacing w:after="100"/>
      <w:ind w:left="1360"/>
    </w:pPr>
  </w:style>
  <w:style w:type="paragraph" w:customStyle="1" w:styleId="TableHead2">
    <w:name w:val="Table Head2"/>
    <w:basedOn w:val="TableHead"/>
    <w:qFormat/>
    <w:rsid w:val="00111F55"/>
    <w:pPr>
      <w:outlineLvl w:val="9"/>
    </w:pPr>
  </w:style>
  <w:style w:type="paragraph" w:customStyle="1" w:styleId="TableSideHeading2">
    <w:name w:val="Table SideHeading2"/>
    <w:basedOn w:val="TableSideHeading"/>
    <w:autoRedefine/>
    <w:qFormat/>
    <w:rsid w:val="00111F55"/>
    <w:pPr>
      <w:keepLines w:val="0"/>
      <w:outlineLvl w:val="9"/>
    </w:pPr>
  </w:style>
  <w:style w:type="paragraph" w:customStyle="1" w:styleId="0">
    <w:name w:val="סגנון שורה ראשונה:  0  ס''מ"/>
    <w:basedOn w:val="2"/>
    <w:rsid w:val="00111F55"/>
    <w:rPr>
      <w:rFonts w:eastAsia="Times New Roman"/>
    </w:rPr>
  </w:style>
  <w:style w:type="paragraph" w:styleId="af">
    <w:name w:val="List Paragraph"/>
    <w:basedOn w:val="a"/>
    <w:uiPriority w:val="34"/>
    <w:qFormat/>
    <w:rsid w:val="00111F55"/>
    <w:pPr>
      <w:widowControl/>
      <w:spacing w:line="259" w:lineRule="auto"/>
    </w:pPr>
    <w:rPr>
      <w:rFonts w:asciiTheme="minorHAnsi" w:hAnsiTheme="minorHAnsi"/>
      <w:sz w:val="22"/>
    </w:rPr>
  </w:style>
  <w:style w:type="table" w:styleId="af0">
    <w:name w:val="Table Grid"/>
    <w:basedOn w:val="a1"/>
    <w:uiPriority w:val="39"/>
    <w:rsid w:val="00111F5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11F55"/>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11F55"/>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11F55"/>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11F55"/>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4C6E97"/>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4C6E97"/>
    <w:rPr>
      <w:rFonts w:ascii="Tahoma" w:hAnsi="Tahoma" w:cs="Tahoma"/>
      <w:sz w:val="18"/>
      <w:szCs w:val="18"/>
    </w:rPr>
  </w:style>
  <w:style w:type="character" w:styleId="af4">
    <w:name w:val="annotation reference"/>
    <w:basedOn w:val="a0"/>
    <w:uiPriority w:val="99"/>
    <w:semiHidden/>
    <w:unhideWhenUsed/>
    <w:rsid w:val="005A1DFE"/>
    <w:rPr>
      <w:sz w:val="16"/>
      <w:szCs w:val="16"/>
    </w:rPr>
  </w:style>
  <w:style w:type="paragraph" w:styleId="af5">
    <w:name w:val="annotation text"/>
    <w:basedOn w:val="a"/>
    <w:link w:val="af6"/>
    <w:uiPriority w:val="99"/>
    <w:semiHidden/>
    <w:unhideWhenUsed/>
    <w:rsid w:val="005A1DFE"/>
    <w:pPr>
      <w:spacing w:line="240" w:lineRule="auto"/>
    </w:pPr>
    <w:rPr>
      <w:sz w:val="20"/>
      <w:szCs w:val="20"/>
    </w:rPr>
  </w:style>
  <w:style w:type="character" w:customStyle="1" w:styleId="af6">
    <w:name w:val="טקסט הערה תו"/>
    <w:basedOn w:val="a0"/>
    <w:link w:val="af5"/>
    <w:uiPriority w:val="99"/>
    <w:semiHidden/>
    <w:rsid w:val="005A1DFE"/>
    <w:rPr>
      <w:rFonts w:ascii="David" w:hAnsi="David" w:cs="David"/>
      <w:sz w:val="20"/>
      <w:szCs w:val="20"/>
    </w:rPr>
  </w:style>
  <w:style w:type="paragraph" w:styleId="af7">
    <w:name w:val="annotation subject"/>
    <w:basedOn w:val="af5"/>
    <w:next w:val="af5"/>
    <w:link w:val="af8"/>
    <w:uiPriority w:val="99"/>
    <w:semiHidden/>
    <w:unhideWhenUsed/>
    <w:rsid w:val="005A1DFE"/>
    <w:rPr>
      <w:b/>
      <w:bCs/>
    </w:rPr>
  </w:style>
  <w:style w:type="character" w:customStyle="1" w:styleId="af8">
    <w:name w:val="נושא הערה תו"/>
    <w:basedOn w:val="af6"/>
    <w:link w:val="af7"/>
    <w:uiPriority w:val="99"/>
    <w:semiHidden/>
    <w:rsid w:val="005A1DFE"/>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8B75-9EA6-4A6E-B996-023589E2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7736</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רוס קמלי</dc:creator>
  <cp:keywords/>
  <dc:description/>
  <cp:lastModifiedBy>נטע ברנר נאור</cp:lastModifiedBy>
  <cp:revision>2</cp:revision>
  <cp:lastPrinted>2020-07-14T08:01:00Z</cp:lastPrinted>
  <dcterms:created xsi:type="dcterms:W3CDTF">2020-07-21T12:03:00Z</dcterms:created>
  <dcterms:modified xsi:type="dcterms:W3CDTF">2020-07-21T12:03:00Z</dcterms:modified>
</cp:coreProperties>
</file>