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54" w:rsidRPr="005B639B" w:rsidRDefault="000F6E0C" w:rsidP="000B63A6">
      <w:pPr>
        <w:keepNext/>
        <w:keepLines/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textAlignment w:val="center"/>
        <w:rPr>
          <w:rFonts w:ascii="Arial" w:eastAsia="Arial Unicode MS" w:hAnsi="Arial" w:cs="David"/>
          <w:b/>
          <w:bCs/>
          <w:snapToGrid w:val="0"/>
          <w:color w:val="000000"/>
          <w:sz w:val="24"/>
          <w:szCs w:val="24"/>
          <w:rtl/>
          <w:lang w:eastAsia="ja-JP"/>
        </w:rPr>
      </w:pPr>
      <w:r>
        <w:rPr>
          <w:rFonts w:ascii="Arial" w:eastAsia="Arial Unicode MS" w:hAnsi="Arial" w:cs="David" w:hint="cs"/>
          <w:b/>
          <w:bCs/>
          <w:snapToGrid w:val="0"/>
          <w:color w:val="000000"/>
          <w:sz w:val="24"/>
          <w:szCs w:val="24"/>
          <w:rtl/>
          <w:lang w:eastAsia="ja-JP"/>
        </w:rPr>
        <w:t xml:space="preserve">טיוטת </w:t>
      </w:r>
      <w:r w:rsidR="00FC4588">
        <w:rPr>
          <w:rFonts w:ascii="Arial" w:eastAsia="Arial Unicode MS" w:hAnsi="Arial" w:cs="David" w:hint="cs"/>
          <w:b/>
          <w:bCs/>
          <w:snapToGrid w:val="0"/>
          <w:color w:val="000000"/>
          <w:sz w:val="24"/>
          <w:szCs w:val="24"/>
          <w:rtl/>
          <w:lang w:eastAsia="ja-JP"/>
        </w:rPr>
        <w:t xml:space="preserve">תקנות </w:t>
      </w:r>
      <w:bookmarkStart w:id="0" w:name="_GoBack"/>
      <w:bookmarkEnd w:id="0"/>
      <w:r w:rsidR="00A05654" w:rsidRPr="005B639B">
        <w:rPr>
          <w:rFonts w:ascii="Arial" w:eastAsia="Arial Unicode MS" w:hAnsi="Arial" w:cs="David" w:hint="cs"/>
          <w:b/>
          <w:bCs/>
          <w:snapToGrid w:val="0"/>
          <w:color w:val="000000"/>
          <w:sz w:val="24"/>
          <w:szCs w:val="24"/>
          <w:rtl/>
          <w:lang w:eastAsia="ja-JP"/>
        </w:rPr>
        <w:t>התכנון והבניה (</w:t>
      </w:r>
      <w:r w:rsidR="00C35A97">
        <w:rPr>
          <w:rFonts w:ascii="Arial" w:eastAsia="Arial Unicode MS" w:hAnsi="Arial" w:cs="David" w:hint="cs"/>
          <w:b/>
          <w:bCs/>
          <w:snapToGrid w:val="0"/>
          <w:color w:val="000000"/>
          <w:sz w:val="24"/>
          <w:szCs w:val="24"/>
          <w:rtl/>
          <w:lang w:eastAsia="ja-JP"/>
        </w:rPr>
        <w:t>מכוני בקרה,</w:t>
      </w:r>
      <w:r w:rsidR="00BC6379">
        <w:rPr>
          <w:rFonts w:ascii="Arial" w:eastAsia="Arial Unicode MS" w:hAnsi="Arial" w:cs="David" w:hint="cs"/>
          <w:b/>
          <w:bCs/>
          <w:snapToGrid w:val="0"/>
          <w:color w:val="000000"/>
          <w:sz w:val="24"/>
          <w:szCs w:val="24"/>
          <w:rtl/>
          <w:lang w:eastAsia="ja-JP"/>
        </w:rPr>
        <w:t xml:space="preserve"> </w:t>
      </w:r>
      <w:r w:rsidR="000B63A6">
        <w:rPr>
          <w:rFonts w:ascii="Arial" w:eastAsia="Arial Unicode MS" w:hAnsi="Arial" w:cs="David" w:hint="cs"/>
          <w:b/>
          <w:bCs/>
          <w:snapToGrid w:val="0"/>
          <w:color w:val="000000"/>
          <w:sz w:val="24"/>
          <w:szCs w:val="24"/>
          <w:rtl/>
          <w:lang w:eastAsia="ja-JP"/>
        </w:rPr>
        <w:t>תנאי כשירות ו</w:t>
      </w:r>
      <w:r w:rsidR="00A05654" w:rsidRPr="005B639B">
        <w:rPr>
          <w:rFonts w:ascii="Arial" w:eastAsia="Arial Unicode MS" w:hAnsi="Arial" w:cs="David" w:hint="cs"/>
          <w:b/>
          <w:bCs/>
          <w:snapToGrid w:val="0"/>
          <w:color w:val="000000"/>
          <w:sz w:val="24"/>
          <w:szCs w:val="24"/>
          <w:rtl/>
          <w:lang w:eastAsia="ja-JP"/>
        </w:rPr>
        <w:t>הכשר</w:t>
      </w:r>
      <w:r w:rsidR="00BC6379">
        <w:rPr>
          <w:rFonts w:ascii="Arial" w:eastAsia="Arial Unicode MS" w:hAnsi="Arial" w:cs="David" w:hint="cs"/>
          <w:b/>
          <w:bCs/>
          <w:snapToGrid w:val="0"/>
          <w:color w:val="000000"/>
          <w:sz w:val="24"/>
          <w:szCs w:val="24"/>
          <w:rtl/>
          <w:lang w:eastAsia="ja-JP"/>
        </w:rPr>
        <w:t>ה</w:t>
      </w:r>
      <w:r w:rsidR="00A05654" w:rsidRPr="005B639B">
        <w:rPr>
          <w:rFonts w:ascii="Arial" w:eastAsia="Arial Unicode MS" w:hAnsi="Arial" w:cs="David"/>
          <w:b/>
          <w:bCs/>
          <w:snapToGrid w:val="0"/>
          <w:color w:val="000000"/>
          <w:sz w:val="24"/>
          <w:szCs w:val="24"/>
          <w:rtl/>
          <w:lang w:eastAsia="ja-JP"/>
        </w:rPr>
        <w:t xml:space="preserve"> </w:t>
      </w:r>
      <w:r w:rsidR="00BC6379">
        <w:rPr>
          <w:rFonts w:ascii="Arial" w:eastAsia="Arial Unicode MS" w:hAnsi="Arial" w:cs="David" w:hint="cs"/>
          <w:b/>
          <w:bCs/>
          <w:snapToGrid w:val="0"/>
          <w:color w:val="000000"/>
          <w:sz w:val="24"/>
          <w:szCs w:val="24"/>
          <w:rtl/>
          <w:lang w:eastAsia="ja-JP"/>
        </w:rPr>
        <w:t>נוספים</w:t>
      </w:r>
      <w:r w:rsidR="00A05654" w:rsidRPr="005B639B">
        <w:rPr>
          <w:rFonts w:ascii="Arial" w:eastAsia="Arial Unicode MS" w:hAnsi="Arial" w:cs="David"/>
          <w:b/>
          <w:bCs/>
          <w:snapToGrid w:val="0"/>
          <w:color w:val="000000"/>
          <w:sz w:val="24"/>
          <w:szCs w:val="24"/>
          <w:rtl/>
          <w:lang w:eastAsia="ja-JP"/>
        </w:rPr>
        <w:t xml:space="preserve"> </w:t>
      </w:r>
      <w:r w:rsidR="00A05654" w:rsidRPr="005B639B">
        <w:rPr>
          <w:rFonts w:ascii="Arial" w:eastAsia="Arial Unicode MS" w:hAnsi="Arial" w:cs="David" w:hint="cs"/>
          <w:b/>
          <w:bCs/>
          <w:snapToGrid w:val="0"/>
          <w:color w:val="000000"/>
          <w:sz w:val="24"/>
          <w:szCs w:val="24"/>
          <w:rtl/>
          <w:lang w:eastAsia="ja-JP"/>
        </w:rPr>
        <w:t>של</w:t>
      </w:r>
      <w:r w:rsidR="00A05654" w:rsidRPr="005B639B">
        <w:rPr>
          <w:rFonts w:ascii="Arial" w:eastAsia="Arial Unicode MS" w:hAnsi="Arial" w:cs="David"/>
          <w:b/>
          <w:bCs/>
          <w:snapToGrid w:val="0"/>
          <w:color w:val="000000"/>
          <w:sz w:val="24"/>
          <w:szCs w:val="24"/>
          <w:rtl/>
          <w:lang w:eastAsia="ja-JP"/>
        </w:rPr>
        <w:t xml:space="preserve"> </w:t>
      </w:r>
      <w:r w:rsidR="00A05654" w:rsidRPr="005B639B">
        <w:rPr>
          <w:rFonts w:ascii="Arial" w:eastAsia="Arial Unicode MS" w:hAnsi="Arial" w:cs="David" w:hint="cs"/>
          <w:b/>
          <w:bCs/>
          <w:snapToGrid w:val="0"/>
          <w:color w:val="000000"/>
          <w:sz w:val="24"/>
          <w:szCs w:val="24"/>
          <w:rtl/>
          <w:lang w:eastAsia="ja-JP"/>
        </w:rPr>
        <w:t>בקר</w:t>
      </w:r>
      <w:r w:rsidR="00BC6379">
        <w:rPr>
          <w:rFonts w:ascii="Arial" w:eastAsia="Arial Unicode MS" w:hAnsi="Arial" w:cs="David" w:hint="cs"/>
          <w:b/>
          <w:bCs/>
          <w:snapToGrid w:val="0"/>
          <w:color w:val="000000"/>
          <w:sz w:val="24"/>
          <w:szCs w:val="24"/>
          <w:rtl/>
          <w:lang w:eastAsia="ja-JP"/>
        </w:rPr>
        <w:t xml:space="preserve"> מורשה</w:t>
      </w:r>
      <w:r w:rsidR="00A05654" w:rsidRPr="005B639B">
        <w:rPr>
          <w:rFonts w:ascii="Arial" w:eastAsia="Arial Unicode MS" w:hAnsi="Arial" w:cs="David"/>
          <w:b/>
          <w:bCs/>
          <w:snapToGrid w:val="0"/>
          <w:color w:val="000000"/>
          <w:sz w:val="24"/>
          <w:szCs w:val="24"/>
          <w:rtl/>
          <w:lang w:eastAsia="ja-JP"/>
        </w:rPr>
        <w:t xml:space="preserve"> </w:t>
      </w:r>
      <w:r w:rsidR="00A05654" w:rsidRPr="005B639B">
        <w:rPr>
          <w:rFonts w:ascii="Arial" w:eastAsia="Arial Unicode MS" w:hAnsi="Arial" w:cs="David" w:hint="cs"/>
          <w:b/>
          <w:bCs/>
          <w:snapToGrid w:val="0"/>
          <w:color w:val="000000"/>
          <w:sz w:val="24"/>
          <w:szCs w:val="24"/>
          <w:rtl/>
          <w:lang w:eastAsia="ja-JP"/>
        </w:rPr>
        <w:t>בטיחות</w:t>
      </w:r>
      <w:r w:rsidR="00A05654" w:rsidRPr="005B639B">
        <w:rPr>
          <w:rFonts w:ascii="Arial" w:eastAsia="Arial Unicode MS" w:hAnsi="Arial" w:cs="David"/>
          <w:b/>
          <w:bCs/>
          <w:snapToGrid w:val="0"/>
          <w:color w:val="000000"/>
          <w:sz w:val="24"/>
          <w:szCs w:val="24"/>
          <w:rtl/>
          <w:lang w:eastAsia="ja-JP"/>
        </w:rPr>
        <w:t xml:space="preserve"> </w:t>
      </w:r>
      <w:r w:rsidR="00A05654" w:rsidRPr="005B639B">
        <w:rPr>
          <w:rFonts w:ascii="Arial" w:eastAsia="Arial Unicode MS" w:hAnsi="Arial" w:cs="David" w:hint="cs"/>
          <w:b/>
          <w:bCs/>
          <w:snapToGrid w:val="0"/>
          <w:color w:val="000000"/>
          <w:sz w:val="24"/>
          <w:szCs w:val="24"/>
          <w:rtl/>
          <w:lang w:eastAsia="ja-JP"/>
        </w:rPr>
        <w:t>אש), התשע"ח-2018</w:t>
      </w:r>
    </w:p>
    <w:tbl>
      <w:tblPr>
        <w:tblStyle w:val="a6"/>
        <w:bidiVisual/>
        <w:tblW w:w="0" w:type="auto"/>
        <w:tblLook w:val="01E0" w:firstRow="1" w:lastRow="1" w:firstColumn="1" w:lastColumn="1" w:noHBand="0" w:noVBand="0"/>
      </w:tblPr>
      <w:tblGrid>
        <w:gridCol w:w="1327"/>
        <w:gridCol w:w="440"/>
        <w:gridCol w:w="542"/>
        <w:gridCol w:w="5461"/>
      </w:tblGrid>
      <w:tr w:rsidR="00552AE6" w:rsidRPr="00A05654" w:rsidTr="00853D31">
        <w:tc>
          <w:tcPr>
            <w:tcW w:w="0" w:type="auto"/>
          </w:tcPr>
          <w:p w:rsidR="00A05654" w:rsidRPr="00A05654" w:rsidRDefault="00A05654" w:rsidP="00A05654">
            <w:pPr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57"/>
              <w:textAlignment w:val="center"/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A05654" w:rsidRPr="00A05654" w:rsidRDefault="00A05654" w:rsidP="00A05654">
            <w:pPr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57"/>
              <w:jc w:val="both"/>
              <w:textAlignment w:val="center"/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A05654" w:rsidRPr="00A05654" w:rsidRDefault="00A05654" w:rsidP="00A05654">
            <w:pPr>
              <w:keepLines/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lang w:eastAsia="ja-JP"/>
              </w:rPr>
            </w:pP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בתוקף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סמכותי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לפי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סעיף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158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כב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>(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א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)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לחוק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התכנון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והבניה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,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התשכ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>"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ה</w:t>
            </w:r>
            <w:r w:rsidR="00631DC8"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>-1965</w:t>
            </w:r>
            <w:r w:rsidR="00422FAE">
              <w:rPr>
                <w:rStyle w:val="a5"/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footnoteReference w:id="1"/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(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להלן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-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החוק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)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אני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מתקין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תקנות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אלה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>:</w:t>
            </w:r>
          </w:p>
        </w:tc>
      </w:tr>
      <w:tr w:rsidR="00552AE6" w:rsidRPr="00A05654" w:rsidTr="00853D31">
        <w:tc>
          <w:tcPr>
            <w:tcW w:w="0" w:type="auto"/>
          </w:tcPr>
          <w:p w:rsidR="00A05654" w:rsidRPr="00A05654" w:rsidRDefault="00A05654" w:rsidP="00A05654">
            <w:pPr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57"/>
              <w:textAlignment w:val="center"/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lang w:eastAsia="ja-JP"/>
              </w:rPr>
            </w:pPr>
            <w:r w:rsidRPr="00A05654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הגדרות</w:t>
            </w:r>
          </w:p>
        </w:tc>
        <w:tc>
          <w:tcPr>
            <w:tcW w:w="0" w:type="auto"/>
          </w:tcPr>
          <w:p w:rsidR="00A05654" w:rsidRPr="00A05654" w:rsidRDefault="00A05654" w:rsidP="00A05654">
            <w:pPr>
              <w:widowControl w:val="0"/>
              <w:numPr>
                <w:ilvl w:val="0"/>
                <w:numId w:val="1"/>
              </w:numPr>
              <w:tabs>
                <w:tab w:val="left" w:pos="1247"/>
              </w:tabs>
              <w:autoSpaceDE w:val="0"/>
              <w:autoSpaceDN w:val="0"/>
              <w:adjustRightInd w:val="0"/>
              <w:snapToGrid w:val="0"/>
              <w:spacing w:before="102" w:line="360" w:lineRule="auto"/>
              <w:ind w:right="57"/>
              <w:jc w:val="both"/>
              <w:textAlignment w:val="center"/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A05654" w:rsidRPr="00A05654" w:rsidRDefault="00A05654" w:rsidP="00A05654">
            <w:pPr>
              <w:keepLines/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lang w:eastAsia="ja-JP"/>
              </w:rPr>
            </w:pP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בתקנות אלו</w:t>
            </w:r>
            <w:r w:rsidRPr="00A05654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-</w:t>
            </w:r>
          </w:p>
        </w:tc>
      </w:tr>
      <w:tr w:rsidR="00552AE6" w:rsidRPr="00A05654" w:rsidTr="00853D31">
        <w:tc>
          <w:tcPr>
            <w:tcW w:w="0" w:type="auto"/>
          </w:tcPr>
          <w:p w:rsidR="00A05654" w:rsidRPr="00A05654" w:rsidRDefault="00A05654" w:rsidP="00A05654">
            <w:pPr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57"/>
              <w:textAlignment w:val="center"/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</w:pPr>
          </w:p>
        </w:tc>
        <w:tc>
          <w:tcPr>
            <w:tcW w:w="0" w:type="auto"/>
          </w:tcPr>
          <w:p w:rsidR="00A05654" w:rsidRPr="00A05654" w:rsidRDefault="00A05654" w:rsidP="00A05654">
            <w:pPr>
              <w:keepLines/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57"/>
              <w:textAlignment w:val="center"/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A05654" w:rsidRPr="00A05654" w:rsidRDefault="00A05654" w:rsidP="00D77F43">
            <w:pPr>
              <w:keepLines/>
              <w:widowControl w:val="0"/>
              <w:tabs>
                <w:tab w:val="left" w:pos="115"/>
                <w:tab w:val="left" w:pos="1247"/>
              </w:tabs>
              <w:autoSpaceDE w:val="0"/>
              <w:autoSpaceDN w:val="0"/>
              <w:adjustRightInd w:val="0"/>
              <w:snapToGrid w:val="0"/>
              <w:spacing w:line="360" w:lineRule="auto"/>
              <w:ind w:left="115" w:hanging="115"/>
              <w:jc w:val="both"/>
              <w:textAlignment w:val="center"/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</w:pP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>"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בקר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מורשה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בטיחות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אש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" – 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בקר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במכון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בקרה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כמשמעותו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בסעיף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158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יט</w:t>
            </w:r>
            <w:r w:rsidR="00E85D34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(ב)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לחוק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,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שהוא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בקר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מורשה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לפי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סעיף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158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כא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>(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א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)(3)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לחוק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>;</w:t>
            </w:r>
          </w:p>
        </w:tc>
      </w:tr>
      <w:tr w:rsidR="00552AE6" w:rsidRPr="00A05654" w:rsidTr="00853D31">
        <w:tc>
          <w:tcPr>
            <w:tcW w:w="0" w:type="auto"/>
          </w:tcPr>
          <w:p w:rsidR="00595F04" w:rsidRPr="00A05654" w:rsidRDefault="00595F04" w:rsidP="00A05654">
            <w:pPr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57"/>
              <w:textAlignment w:val="center"/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</w:pPr>
          </w:p>
        </w:tc>
        <w:tc>
          <w:tcPr>
            <w:tcW w:w="0" w:type="auto"/>
          </w:tcPr>
          <w:p w:rsidR="00595F04" w:rsidRPr="00A05654" w:rsidRDefault="00595F04" w:rsidP="00A05654">
            <w:pPr>
              <w:keepLines/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57"/>
              <w:textAlignment w:val="center"/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595F04" w:rsidRPr="005B639B" w:rsidRDefault="00595F04" w:rsidP="007405F1">
            <w:pPr>
              <w:keepLines/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</w:pPr>
            <w:r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"פנקס האדריכלים או </w:t>
            </w:r>
            <w:proofErr w:type="spellStart"/>
            <w:r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המהדנסים</w:t>
            </w:r>
            <w:proofErr w:type="spellEnd"/>
            <w:r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"</w:t>
            </w:r>
            <w:r w:rsidR="001D539A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- </w:t>
            </w:r>
            <w:r w:rsidR="00944951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כהגדרתו בחוק המהנדסים והאדריכלים, התשי"ח-1958</w:t>
            </w:r>
            <w:r w:rsidR="007405F1">
              <w:rPr>
                <w:rStyle w:val="a5"/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footnoteReference w:id="2"/>
            </w:r>
            <w:r w:rsidR="00944951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;</w:t>
            </w:r>
          </w:p>
        </w:tc>
      </w:tr>
      <w:tr w:rsidR="00552AE6" w:rsidRPr="00A05654" w:rsidTr="00853D31">
        <w:tc>
          <w:tcPr>
            <w:tcW w:w="0" w:type="auto"/>
          </w:tcPr>
          <w:p w:rsidR="00A05654" w:rsidRPr="00A05654" w:rsidRDefault="00A05654" w:rsidP="00A05654">
            <w:pPr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57"/>
              <w:textAlignment w:val="center"/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</w:pPr>
          </w:p>
        </w:tc>
        <w:tc>
          <w:tcPr>
            <w:tcW w:w="0" w:type="auto"/>
          </w:tcPr>
          <w:p w:rsidR="00A05654" w:rsidRPr="00A05654" w:rsidRDefault="00A05654" w:rsidP="00A05654">
            <w:pPr>
              <w:keepLines/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57"/>
              <w:textAlignment w:val="center"/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A05654" w:rsidRPr="00A05654" w:rsidRDefault="00A05654" w:rsidP="00A05654">
            <w:pPr>
              <w:keepLines/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</w:pP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>"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רשות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הכבאות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>"</w:t>
            </w:r>
            <w:r w:rsidR="00422FAE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-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הרשות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הארצית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לכבאות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והצלה</w:t>
            </w:r>
            <w:r w:rsidR="00D77F43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;</w:t>
            </w:r>
          </w:p>
        </w:tc>
      </w:tr>
      <w:tr w:rsidR="00552AE6" w:rsidRPr="00A05654" w:rsidTr="00853D31">
        <w:tc>
          <w:tcPr>
            <w:tcW w:w="0" w:type="auto"/>
          </w:tcPr>
          <w:p w:rsidR="00422FAE" w:rsidRPr="00A05654" w:rsidRDefault="00422FAE" w:rsidP="00A05654">
            <w:pPr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57"/>
              <w:textAlignment w:val="center"/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</w:pPr>
          </w:p>
        </w:tc>
        <w:tc>
          <w:tcPr>
            <w:tcW w:w="0" w:type="auto"/>
          </w:tcPr>
          <w:p w:rsidR="00422FAE" w:rsidRPr="00A05654" w:rsidRDefault="00422FAE" w:rsidP="00A05654">
            <w:pPr>
              <w:keepLines/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57"/>
              <w:textAlignment w:val="center"/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422FAE" w:rsidRPr="005B639B" w:rsidRDefault="00422FAE" w:rsidP="00A05654">
            <w:pPr>
              <w:keepLines/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</w:pPr>
            <w:r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"שנה" </w:t>
            </w:r>
            <w:r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>–</w:t>
            </w:r>
            <w:r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תקופה מאחד בינואר של שנה פלונית עד שלושים ואחד בדצמבר של אותה שנה, לפי הלוח </w:t>
            </w:r>
            <w:proofErr w:type="spellStart"/>
            <w:r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הגריגוריאני</w:t>
            </w:r>
            <w:proofErr w:type="spellEnd"/>
            <w:r w:rsidR="002F61F5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.</w:t>
            </w:r>
          </w:p>
        </w:tc>
      </w:tr>
      <w:tr w:rsidR="00552AE6" w:rsidRPr="00A05654" w:rsidTr="00853D31">
        <w:tc>
          <w:tcPr>
            <w:tcW w:w="0" w:type="auto"/>
            <w:vMerge w:val="restart"/>
          </w:tcPr>
          <w:p w:rsidR="00D77F43" w:rsidRPr="00A05654" w:rsidRDefault="00D77F43" w:rsidP="00A05654">
            <w:pPr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57"/>
              <w:textAlignment w:val="center"/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lang w:eastAsia="ja-JP"/>
              </w:rPr>
            </w:pP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הכשרה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ותנאי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כשירות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נוספים</w:t>
            </w:r>
          </w:p>
        </w:tc>
        <w:tc>
          <w:tcPr>
            <w:tcW w:w="0" w:type="auto"/>
          </w:tcPr>
          <w:p w:rsidR="00D77F43" w:rsidRPr="00A05654" w:rsidRDefault="00D77F43" w:rsidP="00A05654">
            <w:pPr>
              <w:widowControl w:val="0"/>
              <w:numPr>
                <w:ilvl w:val="0"/>
                <w:numId w:val="1"/>
              </w:numPr>
              <w:tabs>
                <w:tab w:val="left" w:pos="1247"/>
              </w:tabs>
              <w:autoSpaceDE w:val="0"/>
              <w:autoSpaceDN w:val="0"/>
              <w:adjustRightInd w:val="0"/>
              <w:snapToGrid w:val="0"/>
              <w:spacing w:before="102" w:line="360" w:lineRule="auto"/>
              <w:ind w:right="57"/>
              <w:jc w:val="both"/>
              <w:textAlignment w:val="center"/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D77F43" w:rsidRPr="00A05654" w:rsidRDefault="00D77F43" w:rsidP="00A05654">
            <w:pPr>
              <w:keepLines/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</w:pP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ההכשרה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ותנאי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הכשירות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הנוספים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שבהם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נדרש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לעמוד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בקר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מורשה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בטיחות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אש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הם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>:</w:t>
            </w:r>
          </w:p>
        </w:tc>
      </w:tr>
      <w:tr w:rsidR="00552AE6" w:rsidRPr="005B639B" w:rsidTr="00853D31">
        <w:tc>
          <w:tcPr>
            <w:tcW w:w="0" w:type="auto"/>
            <w:vMerge/>
          </w:tcPr>
          <w:p w:rsidR="00D77F43" w:rsidRPr="00A05654" w:rsidRDefault="00D77F43" w:rsidP="00A05654">
            <w:pPr>
              <w:keepLines/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57"/>
              <w:textAlignment w:val="center"/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D77F43" w:rsidRPr="00A05654" w:rsidRDefault="00D77F43" w:rsidP="00A05654">
            <w:pPr>
              <w:keepLines/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57"/>
              <w:textAlignment w:val="center"/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D77F43" w:rsidRPr="00A05654" w:rsidRDefault="00D77F43" w:rsidP="00CF37D2">
            <w:pPr>
              <w:keepLines/>
              <w:widowControl w:val="0"/>
              <w:numPr>
                <w:ilvl w:val="0"/>
                <w:numId w:val="2"/>
              </w:numPr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before="102" w:line="360" w:lineRule="auto"/>
              <w:jc w:val="both"/>
              <w:textAlignment w:val="center"/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</w:pP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הוא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אדריכל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רש</w:t>
            </w:r>
            <w:r w:rsidR="003A3409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ום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,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מהנדס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אזרחי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רשום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,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מהנדס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בטיחות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רשום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או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מהנדס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בטיחות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אש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רשום</w:t>
            </w:r>
            <w:r w:rsidR="00CF37D2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;</w:t>
            </w:r>
          </w:p>
        </w:tc>
      </w:tr>
      <w:tr w:rsidR="00552AE6" w:rsidRPr="005B639B" w:rsidTr="00853D31">
        <w:tc>
          <w:tcPr>
            <w:tcW w:w="0" w:type="auto"/>
          </w:tcPr>
          <w:p w:rsidR="00BB1865" w:rsidRPr="005B639B" w:rsidRDefault="00BB1865" w:rsidP="00A05654">
            <w:pPr>
              <w:keepLines/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57"/>
              <w:textAlignment w:val="center"/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BB1865" w:rsidRPr="005B639B" w:rsidRDefault="00BB1865" w:rsidP="00A05654">
            <w:pPr>
              <w:keepLines/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57"/>
              <w:textAlignment w:val="center"/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BB1865" w:rsidRPr="005B639B" w:rsidRDefault="00BB1865" w:rsidP="00595F04">
            <w:pPr>
              <w:keepLines/>
              <w:widowControl w:val="0"/>
              <w:numPr>
                <w:ilvl w:val="0"/>
                <w:numId w:val="2"/>
              </w:numPr>
              <w:tabs>
                <w:tab w:val="left" w:pos="1247"/>
              </w:tabs>
              <w:autoSpaceDE w:val="0"/>
              <w:autoSpaceDN w:val="0"/>
              <w:adjustRightInd w:val="0"/>
              <w:snapToGrid w:val="0"/>
              <w:spacing w:before="102" w:line="360" w:lineRule="auto"/>
              <w:jc w:val="both"/>
              <w:textAlignment w:val="center"/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</w:pP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הוא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בעל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נ</w:t>
            </w:r>
            <w:r w:rsidR="004173B8"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י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סיון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מקצועי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של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חמש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שנים</w:t>
            </w:r>
            <w:r w:rsidR="001D7438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לפחות</w:t>
            </w:r>
            <w:r w:rsidR="000549B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החל ממועד רישומו בפנקס האדריכלים או המהנדסים</w:t>
            </w:r>
            <w:r w:rsidR="00F3178F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, </w:t>
            </w:r>
            <w:r w:rsidR="00595F04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בתחום תכנון הבנייה, רישוי הבנייה, או פיקוח על הבנייה;</w:t>
            </w:r>
            <w:r w:rsidR="00F3178F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</w:p>
        </w:tc>
      </w:tr>
      <w:tr w:rsidR="00552AE6" w:rsidRPr="005B639B" w:rsidTr="00853D31">
        <w:tc>
          <w:tcPr>
            <w:tcW w:w="0" w:type="auto"/>
          </w:tcPr>
          <w:p w:rsidR="00BB1865" w:rsidRPr="005B639B" w:rsidRDefault="00BB1865" w:rsidP="00A05654">
            <w:pPr>
              <w:keepLines/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57"/>
              <w:textAlignment w:val="center"/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BB1865" w:rsidRPr="005B639B" w:rsidRDefault="00BB1865" w:rsidP="00A05654">
            <w:pPr>
              <w:keepLines/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57"/>
              <w:textAlignment w:val="center"/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BB1865" w:rsidRPr="005B639B" w:rsidRDefault="00BB1865" w:rsidP="00545AB3">
            <w:pPr>
              <w:keepLines/>
              <w:widowControl w:val="0"/>
              <w:numPr>
                <w:ilvl w:val="0"/>
                <w:numId w:val="2"/>
              </w:numPr>
              <w:tabs>
                <w:tab w:val="left" w:pos="1247"/>
              </w:tabs>
              <w:autoSpaceDE w:val="0"/>
              <w:autoSpaceDN w:val="0"/>
              <w:adjustRightInd w:val="0"/>
              <w:snapToGrid w:val="0"/>
              <w:spacing w:before="102" w:line="360" w:lineRule="auto"/>
              <w:jc w:val="both"/>
              <w:textAlignment w:val="center"/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</w:pP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הוא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סיים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בהצלחה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הכשר</w:t>
            </w:r>
            <w:r w:rsidR="00260478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ה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של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רשות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הכבאות</w:t>
            </w:r>
            <w:r w:rsidR="005C5166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לבקר מורשה בטיחות אש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>,</w:t>
            </w:r>
            <w:r w:rsidR="005C5166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="005C5166" w:rsidRPr="00ED04B2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בהתאם ל</w:t>
            </w:r>
            <w:r w:rsidR="00FF0C63" w:rsidRPr="00ED04B2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סוגה</w:t>
            </w:r>
            <w:r w:rsidR="00260478" w:rsidRPr="00ED04B2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ו</w:t>
            </w:r>
            <w:r w:rsidR="00131B07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ל</w:t>
            </w:r>
            <w:r w:rsidR="00260478" w:rsidRPr="00ED04B2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תנאיה</w:t>
            </w:r>
            <w:r w:rsidR="00FF0C63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,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אשר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תכלול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,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בין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השאר</w:t>
            </w:r>
            <w:r w:rsidR="00DE0B66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הכשרה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עיונית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בנושאים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: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הוראות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הדין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,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סמכויות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בקר</w:t>
            </w:r>
            <w:r w:rsidR="00545AB3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מורשה בטיחות אש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,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עקרונות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התכנון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של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תכנית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בטיחות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אש</w:t>
            </w:r>
            <w:r w:rsidR="00050F85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, </w:t>
            </w:r>
            <w:r w:rsidR="00FF0C63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וכן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סיורי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שטח</w:t>
            </w:r>
            <w:r w:rsidR="00DE0B66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,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תרגול</w:t>
            </w:r>
            <w:r w:rsidR="00FF0C63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מעשי</w:t>
            </w:r>
            <w:r w:rsidR="00DE0B66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ובחינ</w:t>
            </w:r>
            <w:r w:rsidR="00050F85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ות</w:t>
            </w:r>
            <w:r w:rsidR="00FF0C63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;</w:t>
            </w:r>
          </w:p>
        </w:tc>
      </w:tr>
      <w:tr w:rsidR="00552AE6" w:rsidRPr="005B639B" w:rsidTr="00853D31">
        <w:tc>
          <w:tcPr>
            <w:tcW w:w="0" w:type="auto"/>
          </w:tcPr>
          <w:p w:rsidR="00810D20" w:rsidRPr="005B639B" w:rsidRDefault="00810D20" w:rsidP="00A05654">
            <w:pPr>
              <w:keepLines/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57"/>
              <w:textAlignment w:val="center"/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810D20" w:rsidRPr="005B639B" w:rsidRDefault="00810D20" w:rsidP="00A05654">
            <w:pPr>
              <w:keepLines/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57"/>
              <w:textAlignment w:val="center"/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810D20" w:rsidRPr="005B639B" w:rsidRDefault="00810D20" w:rsidP="00552AE6">
            <w:pPr>
              <w:keepLines/>
              <w:widowControl w:val="0"/>
              <w:numPr>
                <w:ilvl w:val="0"/>
                <w:numId w:val="2"/>
              </w:numPr>
              <w:tabs>
                <w:tab w:val="left" w:pos="1247"/>
              </w:tabs>
              <w:autoSpaceDE w:val="0"/>
              <w:autoSpaceDN w:val="0"/>
              <w:adjustRightInd w:val="0"/>
              <w:snapToGrid w:val="0"/>
              <w:spacing w:before="102" w:line="360" w:lineRule="auto"/>
              <w:jc w:val="both"/>
              <w:textAlignment w:val="center"/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</w:pPr>
            <w:r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הוא </w:t>
            </w:r>
            <w:r w:rsidR="007762F9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סיים</w:t>
            </w:r>
            <w:r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בהצלחה הליך חניכה</w:t>
            </w:r>
            <w:r w:rsidR="00CC04C8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של רשות הכבאות</w:t>
            </w:r>
            <w:r w:rsidR="00C664D9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, </w:t>
            </w:r>
            <w:r w:rsidR="00A22AA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ש</w:t>
            </w:r>
            <w:r w:rsidR="00ED1D74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ב</w:t>
            </w:r>
            <w:r w:rsidR="009B1A76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ו</w:t>
            </w:r>
            <w:r w:rsidR="00ED1D74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="009B1A76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במסגרת עבודתו במכון בקרה, </w:t>
            </w:r>
            <w:r w:rsidR="00784E98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ביצע תחת פיקוח רשות הכבאות בקרת תכן או ביצוע של </w:t>
            </w:r>
            <w:r w:rsidR="00552AE6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עשר </w:t>
            </w:r>
            <w:r w:rsidR="004C630E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ה</w:t>
            </w:r>
            <w:r w:rsidR="00784E98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בקשות </w:t>
            </w:r>
            <w:r w:rsidR="004C630E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הראשונות </w:t>
            </w:r>
            <w:r w:rsidR="001E7AB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להיתר או ביצוע עבודה </w:t>
            </w:r>
            <w:r w:rsidR="00784E98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לפחות</w:t>
            </w:r>
            <w:r w:rsidR="00A22AA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, ולא יותר מ</w:t>
            </w:r>
            <w:r w:rsidR="00552AE6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עשרים </w:t>
            </w:r>
            <w:r w:rsidR="001E7AB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בקשות כאמור</w:t>
            </w:r>
            <w:r w:rsidR="00E75F5F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לפי קביעת רשות הכבאות</w:t>
            </w:r>
            <w:r w:rsidR="00A22AA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, טרם </w:t>
            </w:r>
            <w:r w:rsidR="001B5F50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שהעביר התייחסותו להן</w:t>
            </w:r>
            <w:r w:rsidR="00B952F2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לפי סעיף 158כ</w:t>
            </w:r>
            <w:r w:rsidR="005A7CA8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ג</w:t>
            </w:r>
            <w:r w:rsidR="00B952F2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לחוק</w:t>
            </w:r>
            <w:r w:rsidR="0081243D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. </w:t>
            </w:r>
            <w:r w:rsidR="005A7CA8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ואולם </w:t>
            </w:r>
            <w:r w:rsidR="0081243D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בתקופה ז</w:t>
            </w:r>
            <w:r w:rsidR="00521CF2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ו, ובכפוף להוראות כל דין, י</w:t>
            </w:r>
            <w:r w:rsidR="005A7CA8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ראו אותו </w:t>
            </w:r>
            <w:r w:rsidR="00521CF2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כבקר מורשה בטיחות אש</w:t>
            </w:r>
            <w:r w:rsidR="00552AE6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לפי החוק</w:t>
            </w:r>
            <w:r w:rsidR="001B5F50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;</w:t>
            </w:r>
            <w:r w:rsidR="007762F9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</w:p>
        </w:tc>
      </w:tr>
      <w:tr w:rsidR="00552AE6" w:rsidRPr="005B639B" w:rsidTr="00853D31">
        <w:tc>
          <w:tcPr>
            <w:tcW w:w="0" w:type="auto"/>
          </w:tcPr>
          <w:p w:rsidR="00BB1865" w:rsidRPr="005B639B" w:rsidRDefault="00BB1865" w:rsidP="00A05654">
            <w:pPr>
              <w:keepLines/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57"/>
              <w:textAlignment w:val="center"/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BB1865" w:rsidRPr="005B639B" w:rsidRDefault="00BB1865" w:rsidP="00A05654">
            <w:pPr>
              <w:keepLines/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57"/>
              <w:textAlignment w:val="center"/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BB1865" w:rsidRPr="005B639B" w:rsidRDefault="00BB1865" w:rsidP="006C7040">
            <w:pPr>
              <w:keepLines/>
              <w:widowControl w:val="0"/>
              <w:numPr>
                <w:ilvl w:val="0"/>
                <w:numId w:val="2"/>
              </w:numPr>
              <w:tabs>
                <w:tab w:val="left" w:pos="1247"/>
              </w:tabs>
              <w:autoSpaceDE w:val="0"/>
              <w:autoSpaceDN w:val="0"/>
              <w:adjustRightInd w:val="0"/>
              <w:snapToGrid w:val="0"/>
              <w:spacing w:before="102" w:line="360" w:lineRule="auto"/>
              <w:jc w:val="both"/>
              <w:textAlignment w:val="center"/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</w:pP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הוא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עמד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בדרישות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שמירת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הכשירות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כמפורט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בתקנות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אלה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ובידו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אישור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כשירות</w:t>
            </w:r>
            <w:r w:rsidR="00050F85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="003F14AD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שנתי </w:t>
            </w:r>
            <w:r w:rsidR="00050F85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מטעם רשות הכבאות</w:t>
            </w:r>
            <w:r w:rsidR="00260478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לפי סוג הכשרתו</w:t>
            </w:r>
            <w:r w:rsidR="00DE3AD5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="00DE3AD5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lastRenderedPageBreak/>
              <w:t>המעיד על כך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>;</w:t>
            </w:r>
          </w:p>
        </w:tc>
      </w:tr>
      <w:tr w:rsidR="00552AE6" w:rsidRPr="00A05654" w:rsidTr="00853D31">
        <w:tc>
          <w:tcPr>
            <w:tcW w:w="0" w:type="auto"/>
          </w:tcPr>
          <w:p w:rsidR="00A05654" w:rsidRPr="00A05654" w:rsidRDefault="00BB1865" w:rsidP="001825BE">
            <w:pPr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57"/>
              <w:textAlignment w:val="center"/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</w:pP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lastRenderedPageBreak/>
              <w:t>שמירת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כשירות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מ</w:t>
            </w:r>
            <w:r w:rsidR="001825BE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קצועית</w:t>
            </w:r>
          </w:p>
        </w:tc>
        <w:tc>
          <w:tcPr>
            <w:tcW w:w="0" w:type="auto"/>
          </w:tcPr>
          <w:p w:rsidR="00A05654" w:rsidRPr="00A05654" w:rsidRDefault="00BB1865" w:rsidP="00A05654">
            <w:pPr>
              <w:keepLines/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57"/>
              <w:textAlignment w:val="center"/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lang w:eastAsia="ja-JP"/>
              </w:rPr>
            </w:pP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3.</w:t>
            </w:r>
          </w:p>
        </w:tc>
        <w:tc>
          <w:tcPr>
            <w:tcW w:w="0" w:type="auto"/>
            <w:gridSpan w:val="2"/>
          </w:tcPr>
          <w:p w:rsidR="0038388E" w:rsidRPr="00A05654" w:rsidRDefault="00A05654" w:rsidP="00891BC2">
            <w:pPr>
              <w:keepLines/>
              <w:widowControl w:val="0"/>
              <w:numPr>
                <w:ilvl w:val="0"/>
                <w:numId w:val="3"/>
              </w:numPr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before="102" w:line="360" w:lineRule="auto"/>
              <w:jc w:val="both"/>
              <w:textAlignment w:val="center"/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</w:pPr>
            <w:r w:rsidRPr="00891BC2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לצורך</w:t>
            </w:r>
            <w:r w:rsidRPr="00891BC2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891BC2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שמירה</w:t>
            </w:r>
            <w:r w:rsidRPr="00891BC2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891BC2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על</w:t>
            </w:r>
            <w:r w:rsidRPr="00891BC2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891BC2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כשירות</w:t>
            </w:r>
            <w:r w:rsidRPr="00891BC2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891BC2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מקצועית</w:t>
            </w:r>
            <w:r w:rsidRPr="00891BC2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, </w:t>
            </w:r>
            <w:r w:rsidRPr="00891BC2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יעמוד</w:t>
            </w:r>
            <w:r w:rsidRPr="00891BC2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891BC2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בהצלחה</w:t>
            </w:r>
            <w:r w:rsidRPr="00891BC2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891BC2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בקר</w:t>
            </w:r>
            <w:r w:rsidRPr="00891BC2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891BC2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מורשה</w:t>
            </w:r>
            <w:r w:rsidRPr="00891BC2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891BC2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בטיחות</w:t>
            </w:r>
            <w:r w:rsidRPr="00891BC2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891BC2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אש</w:t>
            </w:r>
            <w:r w:rsidRPr="00891BC2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="001825BE" w:rsidRPr="00891BC2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מדי שנה, </w:t>
            </w:r>
            <w:r w:rsidRPr="00891BC2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החל</w:t>
            </w:r>
            <w:r w:rsidRPr="00891BC2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="001825BE" w:rsidRPr="00891BC2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מ</w:t>
            </w:r>
            <w:r w:rsidR="00C24E16" w:rsidRPr="00891BC2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תחילת </w:t>
            </w:r>
            <w:r w:rsidR="001825BE" w:rsidRPr="00891BC2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השנה </w:t>
            </w:r>
            <w:r w:rsidR="00C04286" w:rsidRPr="00891BC2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הראשונה </w:t>
            </w:r>
            <w:r w:rsidR="001825BE" w:rsidRPr="00891BC2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שלאחר סיום הכשרתו, בש</w:t>
            </w:r>
            <w:r w:rsidR="001E3F09" w:rsidRPr="00891BC2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ני</w:t>
            </w:r>
            <w:r w:rsidR="001825BE" w:rsidRPr="00891BC2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ימי שמירת כשירות מקצועית </w:t>
            </w:r>
            <w:r w:rsidRPr="00891BC2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891BC2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שתערוך</w:t>
            </w:r>
            <w:r w:rsidRPr="00891BC2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891BC2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רשות</w:t>
            </w:r>
            <w:r w:rsidRPr="00891BC2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891BC2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הכבאות</w:t>
            </w:r>
            <w:r w:rsidRPr="00891BC2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>.</w:t>
            </w:r>
          </w:p>
        </w:tc>
      </w:tr>
      <w:tr w:rsidR="00552AE6" w:rsidRPr="00A05654" w:rsidTr="00853D31">
        <w:tc>
          <w:tcPr>
            <w:tcW w:w="0" w:type="auto"/>
          </w:tcPr>
          <w:p w:rsidR="00A05654" w:rsidRPr="00A05654" w:rsidRDefault="00A05654" w:rsidP="00A05654">
            <w:pPr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57"/>
              <w:textAlignment w:val="center"/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</w:pPr>
          </w:p>
        </w:tc>
        <w:tc>
          <w:tcPr>
            <w:tcW w:w="0" w:type="auto"/>
          </w:tcPr>
          <w:p w:rsidR="00A05654" w:rsidRPr="00A05654" w:rsidRDefault="00A05654" w:rsidP="00A05654">
            <w:pPr>
              <w:keepLines/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57"/>
              <w:textAlignment w:val="center"/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A05654" w:rsidRPr="00A05654" w:rsidRDefault="00A05654" w:rsidP="00E505C0">
            <w:pPr>
              <w:keepLines/>
              <w:widowControl w:val="0"/>
              <w:numPr>
                <w:ilvl w:val="0"/>
                <w:numId w:val="3"/>
              </w:numPr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before="102" w:line="360" w:lineRule="auto"/>
              <w:jc w:val="both"/>
              <w:textAlignment w:val="center"/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</w:pP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בקר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מורשה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בטיחות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אש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שאינו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עומד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בתנאי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שמירת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הכשירות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כאמור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="0075558C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ב</w:t>
            </w:r>
            <w:r w:rsidR="00E505C0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פסקת </w:t>
            </w:r>
            <w:r w:rsidR="0075558C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משנה </w:t>
            </w:r>
            <w:r w:rsidR="00B31379"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(א)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,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לא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ישמש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כבקר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מורשה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עד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שיסיים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בהצלחה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הליך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חזרה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לכשירות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כמפורט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להלן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>:</w:t>
            </w:r>
          </w:p>
        </w:tc>
      </w:tr>
      <w:tr w:rsidR="00B952F2" w:rsidRPr="005B639B" w:rsidTr="00853D31">
        <w:tc>
          <w:tcPr>
            <w:tcW w:w="0" w:type="auto"/>
          </w:tcPr>
          <w:p w:rsidR="00A05654" w:rsidRPr="00A05654" w:rsidRDefault="00A05654" w:rsidP="003D48DC">
            <w:pPr>
              <w:keepLines/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57"/>
              <w:textAlignment w:val="center"/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A05654" w:rsidRPr="00A05654" w:rsidRDefault="00A05654" w:rsidP="003D48DC">
            <w:pPr>
              <w:keepLines/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57"/>
              <w:textAlignment w:val="center"/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A05654" w:rsidRPr="00A05654" w:rsidRDefault="008B6C49" w:rsidP="0075558C">
            <w:pPr>
              <w:keepLines/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57"/>
              <w:textAlignment w:val="center"/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1</w:t>
            </w:r>
            <w:r w:rsidR="0075558C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.</w:t>
            </w:r>
          </w:p>
        </w:tc>
        <w:tc>
          <w:tcPr>
            <w:tcW w:w="0" w:type="auto"/>
          </w:tcPr>
          <w:p w:rsidR="00BB1865" w:rsidRPr="00A05654" w:rsidRDefault="00BB1865" w:rsidP="0038388E">
            <w:pPr>
              <w:keepLines/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before="102" w:line="360" w:lineRule="auto"/>
              <w:jc w:val="both"/>
              <w:textAlignment w:val="center"/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</w:pP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אם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טרם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="00E565CC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חלפה שנה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="006650EF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מהמועד בו פג תוקפו של אישור הכשירות השנתי</w:t>
            </w:r>
            <w:r w:rsidR="00E565CC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="00371DE6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>–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="00371DE6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הוא </w:t>
            </w:r>
            <w:r w:rsidR="0038388E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ה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שלים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השתתפות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בימי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ה</w:t>
            </w:r>
            <w:r w:rsidR="001B0312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כשירות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כ</w:t>
            </w:r>
            <w:r w:rsidR="001639C6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מפורט ב</w:t>
            </w:r>
            <w:r w:rsidR="00E505C0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פסקת </w:t>
            </w:r>
            <w:r w:rsidR="001639C6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משנה (א)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>;</w:t>
            </w:r>
          </w:p>
        </w:tc>
      </w:tr>
      <w:tr w:rsidR="00B952F2" w:rsidRPr="005B639B" w:rsidTr="00853D31">
        <w:tc>
          <w:tcPr>
            <w:tcW w:w="0" w:type="auto"/>
          </w:tcPr>
          <w:p w:rsidR="008B6C49" w:rsidRPr="00A05654" w:rsidRDefault="008B6C49" w:rsidP="003D48DC">
            <w:pPr>
              <w:keepLines/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57"/>
              <w:textAlignment w:val="center"/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8B6C49" w:rsidRPr="00A05654" w:rsidRDefault="008B6C49" w:rsidP="003D48DC">
            <w:pPr>
              <w:keepLines/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57"/>
              <w:textAlignment w:val="center"/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8B6C49" w:rsidRPr="00A05654" w:rsidRDefault="00C65255" w:rsidP="0075558C">
            <w:pPr>
              <w:keepLines/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57"/>
              <w:textAlignment w:val="center"/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2</w:t>
            </w:r>
            <w:r w:rsidR="0075558C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.</w:t>
            </w:r>
          </w:p>
        </w:tc>
        <w:tc>
          <w:tcPr>
            <w:tcW w:w="0" w:type="auto"/>
          </w:tcPr>
          <w:p w:rsidR="008B6C49" w:rsidRPr="005B639B" w:rsidRDefault="008B6C49" w:rsidP="00E565CC">
            <w:pPr>
              <w:keepLines/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before="102" w:line="360" w:lineRule="auto"/>
              <w:jc w:val="both"/>
              <w:textAlignment w:val="center"/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</w:pP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אם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חלפ</w:t>
            </w:r>
            <w:r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ה שנה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מהמועד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בו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פג תוקפו של אישור הכשירות השנתי -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הוא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סיים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בהצלחה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הכשרה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נוספת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לפי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תקנה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2(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ג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>);</w:t>
            </w:r>
          </w:p>
        </w:tc>
      </w:tr>
      <w:tr w:rsidR="00552AE6" w:rsidRPr="00A05654" w:rsidTr="00853D31">
        <w:tc>
          <w:tcPr>
            <w:tcW w:w="0" w:type="auto"/>
          </w:tcPr>
          <w:p w:rsidR="00A05654" w:rsidRPr="00A05654" w:rsidRDefault="00BB1865" w:rsidP="00A05654">
            <w:pPr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57"/>
              <w:textAlignment w:val="center"/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lang w:eastAsia="ja-JP"/>
              </w:rPr>
            </w:pP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תחילה ותחולה</w:t>
            </w:r>
          </w:p>
        </w:tc>
        <w:tc>
          <w:tcPr>
            <w:tcW w:w="0" w:type="auto"/>
          </w:tcPr>
          <w:p w:rsidR="00A05654" w:rsidRPr="00A05654" w:rsidRDefault="00BB1865" w:rsidP="00A05654">
            <w:pPr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57"/>
              <w:textAlignment w:val="center"/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lang w:eastAsia="ja-JP"/>
              </w:rPr>
            </w:pP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4.</w:t>
            </w:r>
          </w:p>
        </w:tc>
        <w:tc>
          <w:tcPr>
            <w:tcW w:w="0" w:type="auto"/>
            <w:gridSpan w:val="2"/>
          </w:tcPr>
          <w:p w:rsidR="00A05654" w:rsidRPr="00A05654" w:rsidRDefault="00BB1865" w:rsidP="00872D21">
            <w:pPr>
              <w:keepLines/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lang w:eastAsia="ja-JP"/>
              </w:rPr>
            </w:pP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תחילתן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של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תקנות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אלה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ביום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פרסומן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,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ואולם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בהתייחס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לבקר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מורשה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בטיחות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אש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שסיים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בהצלחה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הכשרת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בקרים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מורשים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בטיחות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אש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של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רשות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הכבאות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טרם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כניסת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התקנות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לתוקף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, </w:t>
            </w:r>
            <w:r w:rsidR="00E7550D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יראו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לעניין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תקנה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="002D55D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3(</w:t>
            </w:r>
            <w:r w:rsidR="00872D21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א</w:t>
            </w:r>
            <w:r w:rsidR="002D55D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)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את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מועד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סיום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ההכשרה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Pr="005B639B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כיום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="00873F40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31</w:t>
            </w:r>
            <w:r w:rsidRPr="005B639B">
              <w:rPr>
                <w:rFonts w:ascii="Arial" w:eastAsia="Arial Unicode MS" w:hAnsi="Arial" w:cs="David"/>
                <w:snapToGrid w:val="0"/>
                <w:color w:val="000000"/>
                <w:sz w:val="24"/>
                <w:szCs w:val="24"/>
                <w:rtl/>
                <w:lang w:eastAsia="ja-JP"/>
              </w:rPr>
              <w:t xml:space="preserve"> </w:t>
            </w:r>
            <w:r w:rsidR="00873F40">
              <w:rPr>
                <w:rFonts w:ascii="Arial" w:eastAsia="Arial Unicode MS" w:hAnsi="Arial" w:cs="David" w:hint="cs"/>
                <w:snapToGrid w:val="0"/>
                <w:color w:val="000000"/>
                <w:sz w:val="24"/>
                <w:szCs w:val="24"/>
                <w:rtl/>
                <w:lang w:eastAsia="ja-JP"/>
              </w:rPr>
              <w:t>דצמבר 2018.</w:t>
            </w:r>
          </w:p>
        </w:tc>
      </w:tr>
    </w:tbl>
    <w:p w:rsidR="00A05654" w:rsidRPr="00E7550D" w:rsidRDefault="00A05654">
      <w:pPr>
        <w:rPr>
          <w:rFonts w:cs="David"/>
          <w:sz w:val="24"/>
          <w:szCs w:val="24"/>
          <w:rtl/>
        </w:rPr>
      </w:pPr>
    </w:p>
    <w:p w:rsidR="002341F5" w:rsidRDefault="002341F5">
      <w:pPr>
        <w:rPr>
          <w:rFonts w:cs="David"/>
          <w:b/>
          <w:bCs/>
          <w:sz w:val="24"/>
          <w:szCs w:val="24"/>
          <w:u w:val="single"/>
          <w:rtl/>
        </w:rPr>
      </w:pPr>
    </w:p>
    <w:p w:rsidR="002341F5" w:rsidRDefault="002341F5" w:rsidP="00E14EDB">
      <w:pPr>
        <w:rPr>
          <w:rFonts w:cs="David"/>
          <w:sz w:val="24"/>
          <w:szCs w:val="24"/>
          <w:rtl/>
        </w:rPr>
      </w:pPr>
      <w:r w:rsidRPr="002341F5">
        <w:rPr>
          <w:rFonts w:cs="David" w:hint="cs"/>
          <w:sz w:val="24"/>
          <w:szCs w:val="24"/>
          <w:u w:val="single"/>
          <w:rtl/>
        </w:rPr>
        <w:t>________</w:t>
      </w:r>
      <w:r>
        <w:rPr>
          <w:rFonts w:cs="David" w:hint="cs"/>
          <w:sz w:val="24"/>
          <w:szCs w:val="24"/>
          <w:u w:val="single"/>
          <w:rtl/>
        </w:rPr>
        <w:t xml:space="preserve"> </w:t>
      </w:r>
      <w:proofErr w:type="spellStart"/>
      <w:r w:rsidRPr="002341F5">
        <w:rPr>
          <w:rFonts w:cs="David" w:hint="cs"/>
          <w:sz w:val="24"/>
          <w:szCs w:val="24"/>
          <w:rtl/>
        </w:rPr>
        <w:t>התש</w:t>
      </w:r>
      <w:r>
        <w:rPr>
          <w:rFonts w:cs="David" w:hint="cs"/>
          <w:sz w:val="24"/>
          <w:szCs w:val="24"/>
          <w:rtl/>
        </w:rPr>
        <w:t>ע</w:t>
      </w:r>
      <w:r w:rsidRPr="002341F5">
        <w:rPr>
          <w:rFonts w:cs="David" w:hint="cs"/>
          <w:sz w:val="24"/>
          <w:szCs w:val="24"/>
          <w:rtl/>
        </w:rPr>
        <w:t>"ח</w:t>
      </w:r>
      <w:proofErr w:type="spellEnd"/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 w:rsidR="00BC0512">
        <w:rPr>
          <w:rFonts w:cs="David" w:hint="cs"/>
          <w:sz w:val="24"/>
          <w:szCs w:val="24"/>
          <w:rtl/>
        </w:rPr>
        <w:t xml:space="preserve">    </w:t>
      </w:r>
      <w:r>
        <w:rPr>
          <w:rFonts w:cs="David" w:hint="cs"/>
          <w:sz w:val="24"/>
          <w:szCs w:val="24"/>
          <w:rtl/>
        </w:rPr>
        <w:t>___________</w:t>
      </w:r>
    </w:p>
    <w:p w:rsidR="002341F5" w:rsidRPr="00E14EDB" w:rsidRDefault="002341F5" w:rsidP="00E14EDB">
      <w:pPr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( __________ 2018)</w:t>
      </w:r>
      <w:r w:rsidR="00E14EDB">
        <w:rPr>
          <w:rFonts w:cs="David" w:hint="cs"/>
          <w:sz w:val="24"/>
          <w:szCs w:val="24"/>
          <w:rtl/>
        </w:rPr>
        <w:tab/>
      </w:r>
      <w:r w:rsidR="00E14EDB">
        <w:rPr>
          <w:rFonts w:cs="David" w:hint="cs"/>
          <w:sz w:val="24"/>
          <w:szCs w:val="24"/>
          <w:rtl/>
        </w:rPr>
        <w:tab/>
      </w:r>
      <w:r w:rsidR="00E14EDB">
        <w:rPr>
          <w:rFonts w:cs="David" w:hint="cs"/>
          <w:sz w:val="24"/>
          <w:szCs w:val="24"/>
          <w:rtl/>
        </w:rPr>
        <w:tab/>
      </w:r>
      <w:r w:rsidR="00E14EDB">
        <w:rPr>
          <w:rFonts w:cs="David" w:hint="cs"/>
          <w:sz w:val="24"/>
          <w:szCs w:val="24"/>
          <w:rtl/>
        </w:rPr>
        <w:tab/>
      </w:r>
      <w:r w:rsidR="00E14EDB">
        <w:rPr>
          <w:rFonts w:cs="David" w:hint="cs"/>
          <w:sz w:val="24"/>
          <w:szCs w:val="24"/>
          <w:rtl/>
        </w:rPr>
        <w:tab/>
      </w:r>
      <w:r w:rsidR="00FF00EC">
        <w:rPr>
          <w:rFonts w:cs="David" w:hint="cs"/>
          <w:b/>
          <w:bCs/>
          <w:sz w:val="24"/>
          <w:szCs w:val="24"/>
          <w:rtl/>
        </w:rPr>
        <w:t xml:space="preserve">        </w:t>
      </w:r>
      <w:r w:rsidR="00E14EDB" w:rsidRPr="00E14EDB">
        <w:rPr>
          <w:rFonts w:cs="David" w:hint="cs"/>
          <w:b/>
          <w:bCs/>
          <w:sz w:val="24"/>
          <w:szCs w:val="24"/>
          <w:rtl/>
        </w:rPr>
        <w:t>גלעד ארדן</w:t>
      </w:r>
      <w:r w:rsidR="00E14EDB" w:rsidRPr="00E14EDB">
        <w:rPr>
          <w:rFonts w:cs="David"/>
          <w:b/>
          <w:bCs/>
          <w:sz w:val="24"/>
          <w:szCs w:val="24"/>
          <w:rtl/>
        </w:rPr>
        <w:br/>
      </w:r>
      <w:r w:rsidR="00E14EDB" w:rsidRPr="00E14EDB">
        <w:rPr>
          <w:rFonts w:cs="David" w:hint="cs"/>
          <w:b/>
          <w:bCs/>
          <w:sz w:val="24"/>
          <w:szCs w:val="24"/>
          <w:rtl/>
        </w:rPr>
        <w:tab/>
      </w:r>
      <w:r w:rsidR="00E14EDB" w:rsidRPr="00E14EDB">
        <w:rPr>
          <w:rFonts w:cs="David" w:hint="cs"/>
          <w:b/>
          <w:bCs/>
          <w:sz w:val="24"/>
          <w:szCs w:val="24"/>
          <w:rtl/>
        </w:rPr>
        <w:tab/>
      </w:r>
      <w:r w:rsidR="00E14EDB" w:rsidRPr="00E14EDB">
        <w:rPr>
          <w:rFonts w:cs="David" w:hint="cs"/>
          <w:b/>
          <w:bCs/>
          <w:sz w:val="24"/>
          <w:szCs w:val="24"/>
          <w:rtl/>
        </w:rPr>
        <w:tab/>
      </w:r>
      <w:r w:rsidR="00E14EDB" w:rsidRPr="00E14EDB">
        <w:rPr>
          <w:rFonts w:cs="David" w:hint="cs"/>
          <w:b/>
          <w:bCs/>
          <w:sz w:val="24"/>
          <w:szCs w:val="24"/>
          <w:rtl/>
        </w:rPr>
        <w:tab/>
      </w:r>
      <w:r w:rsidR="00E14EDB" w:rsidRPr="00E14EDB">
        <w:rPr>
          <w:rFonts w:cs="David" w:hint="cs"/>
          <w:b/>
          <w:bCs/>
          <w:sz w:val="24"/>
          <w:szCs w:val="24"/>
          <w:rtl/>
        </w:rPr>
        <w:tab/>
      </w:r>
      <w:r w:rsidR="00E14EDB" w:rsidRPr="00E14EDB">
        <w:rPr>
          <w:rFonts w:cs="David" w:hint="cs"/>
          <w:b/>
          <w:bCs/>
          <w:sz w:val="24"/>
          <w:szCs w:val="24"/>
          <w:rtl/>
        </w:rPr>
        <w:tab/>
      </w:r>
      <w:r w:rsidR="00E14EDB" w:rsidRPr="00E14EDB">
        <w:rPr>
          <w:rFonts w:cs="David" w:hint="cs"/>
          <w:b/>
          <w:bCs/>
          <w:sz w:val="24"/>
          <w:szCs w:val="24"/>
          <w:rtl/>
        </w:rPr>
        <w:tab/>
        <w:t>השר לביטחון הפנים</w:t>
      </w:r>
    </w:p>
    <w:p w:rsidR="00E14EDB" w:rsidRDefault="00E14EDB">
      <w:pPr>
        <w:rPr>
          <w:rFonts w:cs="David"/>
          <w:sz w:val="24"/>
          <w:szCs w:val="24"/>
          <w:rtl/>
        </w:rPr>
      </w:pPr>
    </w:p>
    <w:p w:rsidR="000F6E0C" w:rsidRDefault="000F6E0C">
      <w:pPr>
        <w:rPr>
          <w:rFonts w:cs="David"/>
          <w:sz w:val="24"/>
          <w:szCs w:val="24"/>
          <w:rtl/>
        </w:rPr>
      </w:pPr>
    </w:p>
    <w:p w:rsidR="000F6E0C" w:rsidRDefault="000F6E0C">
      <w:pPr>
        <w:rPr>
          <w:rFonts w:cs="David"/>
          <w:sz w:val="24"/>
          <w:szCs w:val="24"/>
          <w:rtl/>
        </w:rPr>
      </w:pPr>
    </w:p>
    <w:p w:rsidR="000F6E0C" w:rsidRDefault="000F6E0C">
      <w:pPr>
        <w:rPr>
          <w:rFonts w:cs="David"/>
          <w:sz w:val="24"/>
          <w:szCs w:val="24"/>
          <w:rtl/>
        </w:rPr>
      </w:pPr>
    </w:p>
    <w:p w:rsidR="000F6E0C" w:rsidRDefault="000F6E0C">
      <w:pPr>
        <w:rPr>
          <w:rFonts w:cs="David"/>
          <w:sz w:val="24"/>
          <w:szCs w:val="24"/>
          <w:rtl/>
        </w:rPr>
      </w:pPr>
    </w:p>
    <w:p w:rsidR="000F6E0C" w:rsidRDefault="000F6E0C">
      <w:pPr>
        <w:rPr>
          <w:rFonts w:cs="David"/>
          <w:sz w:val="24"/>
          <w:szCs w:val="24"/>
          <w:rtl/>
        </w:rPr>
      </w:pPr>
    </w:p>
    <w:p w:rsidR="000F6E0C" w:rsidRDefault="000F6E0C">
      <w:pPr>
        <w:rPr>
          <w:rFonts w:cs="David"/>
          <w:sz w:val="24"/>
          <w:szCs w:val="24"/>
          <w:rtl/>
        </w:rPr>
      </w:pPr>
    </w:p>
    <w:p w:rsidR="000F6E0C" w:rsidRDefault="000F6E0C">
      <w:pPr>
        <w:rPr>
          <w:rFonts w:cs="David"/>
          <w:sz w:val="24"/>
          <w:szCs w:val="24"/>
          <w:rtl/>
        </w:rPr>
      </w:pPr>
    </w:p>
    <w:p w:rsidR="000F6E0C" w:rsidRDefault="000F6E0C">
      <w:pPr>
        <w:rPr>
          <w:rFonts w:cs="David"/>
          <w:sz w:val="24"/>
          <w:szCs w:val="24"/>
          <w:rtl/>
        </w:rPr>
      </w:pPr>
    </w:p>
    <w:p w:rsidR="000F6E0C" w:rsidRDefault="000F6E0C">
      <w:pPr>
        <w:rPr>
          <w:rFonts w:cs="David"/>
          <w:sz w:val="24"/>
          <w:szCs w:val="24"/>
          <w:rtl/>
        </w:rPr>
      </w:pPr>
    </w:p>
    <w:p w:rsidR="000F6E0C" w:rsidRPr="00E14EDB" w:rsidRDefault="000F6E0C">
      <w:pPr>
        <w:rPr>
          <w:rFonts w:cs="David"/>
          <w:sz w:val="24"/>
          <w:szCs w:val="24"/>
          <w:rtl/>
        </w:rPr>
      </w:pPr>
    </w:p>
    <w:p w:rsidR="005B639B" w:rsidRDefault="005B639B" w:rsidP="00331BEE">
      <w:pPr>
        <w:jc w:val="center"/>
        <w:rPr>
          <w:rFonts w:cs="David"/>
          <w:sz w:val="24"/>
          <w:szCs w:val="24"/>
          <w:rtl/>
        </w:rPr>
      </w:pPr>
      <w:r w:rsidRPr="005B639B">
        <w:rPr>
          <w:rFonts w:cs="David" w:hint="cs"/>
          <w:b/>
          <w:bCs/>
          <w:sz w:val="24"/>
          <w:szCs w:val="24"/>
          <w:u w:val="single"/>
          <w:rtl/>
        </w:rPr>
        <w:lastRenderedPageBreak/>
        <w:t>דברי הסבר</w:t>
      </w:r>
    </w:p>
    <w:p w:rsidR="00207CF7" w:rsidRDefault="005B639B" w:rsidP="00371DE6">
      <w:pPr>
        <w:widowControl w:val="0"/>
        <w:autoSpaceDE w:val="0"/>
        <w:autoSpaceDN w:val="0"/>
        <w:adjustRightInd w:val="0"/>
        <w:spacing w:before="102" w:line="360" w:lineRule="auto"/>
        <w:jc w:val="both"/>
        <w:textAlignment w:val="center"/>
        <w:rPr>
          <w:rFonts w:ascii="Calibri" w:eastAsia="Times New Roman" w:hAnsi="Calibri" w:cs="David"/>
          <w:b/>
          <w:snapToGrid w:val="0"/>
          <w:color w:val="000000"/>
          <w:spacing w:val="1"/>
          <w:sz w:val="24"/>
          <w:szCs w:val="24"/>
          <w:rtl/>
          <w:lang w:eastAsia="ja-JP"/>
        </w:rPr>
      </w:pPr>
      <w:r w:rsidRPr="005B639B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תיקון 101 לחוק התכנון והבנייה, התשכ"ה-1965 (להלן: "החוק"), </w:t>
      </w:r>
      <w:r w:rsidR="00287449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כולל </w:t>
      </w:r>
      <w:r w:rsidR="00207CF7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בין היתר,  הוראות בדבר </w:t>
      </w:r>
      <w:r w:rsidR="00207CF7" w:rsidRPr="00207CF7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הקמת</w:t>
      </w:r>
      <w:r w:rsidR="00207CF7" w:rsidRPr="00207CF7">
        <w:rPr>
          <w:rFonts w:ascii="Calibri" w:eastAsia="Times New Roman" w:hAnsi="Calibri" w:cs="David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207CF7" w:rsidRPr="00207CF7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מכוני</w:t>
      </w:r>
      <w:r w:rsidR="00207CF7" w:rsidRPr="00207CF7">
        <w:rPr>
          <w:rFonts w:ascii="Calibri" w:eastAsia="Times New Roman" w:hAnsi="Calibri" w:cs="David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207CF7" w:rsidRPr="00207CF7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בקרה</w:t>
      </w:r>
      <w:r w:rsidR="00207CF7" w:rsidRPr="00207CF7">
        <w:rPr>
          <w:rFonts w:ascii="Calibri" w:eastAsia="Times New Roman" w:hAnsi="Calibri" w:cs="David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207CF7" w:rsidRPr="00207CF7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לבקרת</w:t>
      </w:r>
      <w:r w:rsidR="00207CF7" w:rsidRPr="00207CF7">
        <w:rPr>
          <w:rFonts w:ascii="Calibri" w:eastAsia="Times New Roman" w:hAnsi="Calibri" w:cs="David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207CF7" w:rsidRPr="00207CF7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תכן</w:t>
      </w:r>
      <w:r w:rsidR="00207CF7" w:rsidRPr="00207CF7">
        <w:rPr>
          <w:rFonts w:ascii="Calibri" w:eastAsia="Times New Roman" w:hAnsi="Calibri" w:cs="David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207CF7" w:rsidRPr="00207CF7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הבנייה</w:t>
      </w:r>
      <w:r w:rsidR="00207CF7" w:rsidRPr="00207CF7">
        <w:rPr>
          <w:rFonts w:ascii="Calibri" w:eastAsia="Times New Roman" w:hAnsi="Calibri" w:cs="David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207CF7" w:rsidRPr="00207CF7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וביצוע</w:t>
      </w:r>
      <w:r w:rsidR="00207CF7" w:rsidRPr="00207CF7">
        <w:rPr>
          <w:rFonts w:ascii="Calibri" w:eastAsia="Times New Roman" w:hAnsi="Calibri" w:cs="David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207CF7" w:rsidRPr="00207CF7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הבנייה</w:t>
      </w:r>
      <w:r w:rsidR="00207CF7" w:rsidRPr="00207CF7">
        <w:rPr>
          <w:rFonts w:ascii="Calibri" w:eastAsia="Times New Roman" w:hAnsi="Calibri" w:cs="David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. </w:t>
      </w:r>
      <w:r w:rsidR="00287449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בהתאם לחוק, </w:t>
      </w:r>
      <w:r w:rsidR="00207CF7" w:rsidRPr="00207CF7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במסגרת</w:t>
      </w:r>
      <w:r w:rsidR="00207CF7" w:rsidRPr="00207CF7">
        <w:rPr>
          <w:rFonts w:ascii="Calibri" w:eastAsia="Times New Roman" w:hAnsi="Calibri" w:cs="David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371DE6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מכוני הבקרה </w:t>
      </w:r>
      <w:r w:rsidR="00207CF7" w:rsidRPr="00207CF7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יועברו</w:t>
      </w:r>
      <w:r w:rsidR="00207CF7" w:rsidRPr="00207CF7">
        <w:rPr>
          <w:rFonts w:ascii="Calibri" w:eastAsia="Times New Roman" w:hAnsi="Calibri" w:cs="David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207CF7" w:rsidRPr="00207CF7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הסמכויות</w:t>
      </w:r>
      <w:r w:rsidR="00207CF7" w:rsidRPr="00207CF7">
        <w:rPr>
          <w:rFonts w:ascii="Calibri" w:eastAsia="Times New Roman" w:hAnsi="Calibri" w:cs="David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207CF7" w:rsidRPr="00207CF7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של</w:t>
      </w:r>
      <w:r w:rsidR="00207CF7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207CF7" w:rsidRPr="00207CF7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הגורמים</w:t>
      </w:r>
      <w:r w:rsidR="00207CF7" w:rsidRPr="00207CF7">
        <w:rPr>
          <w:rFonts w:ascii="Calibri" w:eastAsia="Times New Roman" w:hAnsi="Calibri" w:cs="David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207CF7" w:rsidRPr="00207CF7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השונים</w:t>
      </w:r>
      <w:r w:rsidR="00207CF7" w:rsidRPr="00207CF7">
        <w:rPr>
          <w:rFonts w:ascii="Calibri" w:eastAsia="Times New Roman" w:hAnsi="Calibri" w:cs="David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207CF7" w:rsidRPr="00207CF7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שהוקנו</w:t>
      </w:r>
      <w:r w:rsidR="00207CF7" w:rsidRPr="00207CF7">
        <w:rPr>
          <w:rFonts w:ascii="Calibri" w:eastAsia="Times New Roman" w:hAnsi="Calibri" w:cs="David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207CF7" w:rsidRPr="00207CF7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להם</w:t>
      </w:r>
      <w:r w:rsidR="00207CF7" w:rsidRPr="00207CF7">
        <w:rPr>
          <w:rFonts w:ascii="Calibri" w:eastAsia="Times New Roman" w:hAnsi="Calibri" w:cs="David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207CF7" w:rsidRPr="00207CF7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בחוק</w:t>
      </w:r>
      <w:r w:rsidR="00207CF7" w:rsidRPr="00207CF7">
        <w:rPr>
          <w:rFonts w:ascii="Calibri" w:eastAsia="Times New Roman" w:hAnsi="Calibri" w:cs="David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207CF7" w:rsidRPr="00207CF7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סמכויות</w:t>
      </w:r>
      <w:r w:rsidR="00207CF7" w:rsidRPr="00207CF7">
        <w:rPr>
          <w:rFonts w:ascii="Calibri" w:eastAsia="Times New Roman" w:hAnsi="Calibri" w:cs="David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207CF7" w:rsidRPr="00207CF7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לעניין</w:t>
      </w:r>
      <w:r w:rsidR="00207CF7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207CF7" w:rsidRPr="00207CF7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הוצאת</w:t>
      </w:r>
      <w:r w:rsidR="00207CF7" w:rsidRPr="00207CF7">
        <w:rPr>
          <w:rFonts w:ascii="Calibri" w:eastAsia="Times New Roman" w:hAnsi="Calibri" w:cs="David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207CF7" w:rsidRPr="00207CF7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היתרים</w:t>
      </w:r>
      <w:r w:rsidR="00617786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 ופיקוח</w:t>
      </w:r>
      <w:r w:rsidR="00207CF7" w:rsidRPr="00207CF7">
        <w:rPr>
          <w:rFonts w:ascii="Calibri" w:eastAsia="Times New Roman" w:hAnsi="Calibri" w:cs="David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, </w:t>
      </w:r>
      <w:r w:rsidR="0082580B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ובכלל האמור לרשות הכבאות, </w:t>
      </w:r>
      <w:r w:rsidR="00207CF7" w:rsidRPr="00207CF7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לבקרים</w:t>
      </w:r>
      <w:r w:rsidR="00207CF7" w:rsidRPr="00207CF7">
        <w:rPr>
          <w:rFonts w:ascii="Calibri" w:eastAsia="Times New Roman" w:hAnsi="Calibri" w:cs="David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207CF7" w:rsidRPr="00207CF7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מורשים</w:t>
      </w:r>
      <w:r w:rsidR="00207CF7" w:rsidRPr="00207CF7">
        <w:rPr>
          <w:rFonts w:ascii="Calibri" w:eastAsia="Times New Roman" w:hAnsi="Calibri" w:cs="David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207CF7" w:rsidRPr="00207CF7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במכוני</w:t>
      </w:r>
      <w:r w:rsidR="00207CF7" w:rsidRPr="00207CF7">
        <w:rPr>
          <w:rFonts w:ascii="Calibri" w:eastAsia="Times New Roman" w:hAnsi="Calibri" w:cs="David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207CF7" w:rsidRPr="00207CF7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הבקרה</w:t>
      </w:r>
      <w:r w:rsidR="00207CF7" w:rsidRPr="00207CF7">
        <w:rPr>
          <w:rFonts w:ascii="Calibri" w:eastAsia="Times New Roman" w:hAnsi="Calibri" w:cs="David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207CF7" w:rsidRPr="00207CF7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שירכזו</w:t>
      </w:r>
      <w:r w:rsidR="00207CF7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207CF7" w:rsidRPr="00207CF7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סמכויות</w:t>
      </w:r>
      <w:r w:rsidR="00207CF7" w:rsidRPr="00207CF7">
        <w:rPr>
          <w:rFonts w:ascii="Calibri" w:eastAsia="Times New Roman" w:hAnsi="Calibri" w:cs="David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207CF7" w:rsidRPr="00207CF7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אלה</w:t>
      </w:r>
      <w:r w:rsidR="00207CF7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.</w:t>
      </w:r>
    </w:p>
    <w:p w:rsidR="005B639B" w:rsidRDefault="005B639B" w:rsidP="00BB122F">
      <w:pPr>
        <w:widowControl w:val="0"/>
        <w:autoSpaceDE w:val="0"/>
        <w:autoSpaceDN w:val="0"/>
        <w:adjustRightInd w:val="0"/>
        <w:spacing w:before="102" w:line="360" w:lineRule="auto"/>
        <w:jc w:val="both"/>
        <w:textAlignment w:val="center"/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</w:pPr>
      <w:r w:rsidRPr="005B639B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מטרת </w:t>
      </w:r>
      <w:r w:rsidR="0008511A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תקנות אלו </w:t>
      </w:r>
      <w:r w:rsidRPr="005B639B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היא לקבוע את תנאי הכשירות וההכשרה </w:t>
      </w:r>
      <w:r w:rsidR="00BB122F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הנוספים </w:t>
      </w:r>
      <w:r w:rsidRPr="005B639B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הנדרשים מבקרים אשר יהיו רשאים לשמש </w:t>
      </w:r>
      <w:r w:rsidR="00617786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כ</w:t>
      </w:r>
      <w:r w:rsidR="0008511A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בקר</w:t>
      </w:r>
      <w:r w:rsidR="00617786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ים מורשים ל</w:t>
      </w:r>
      <w:r w:rsidR="0008511A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בטיחות אש</w:t>
      </w:r>
      <w:r w:rsidR="00BB122F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 במכוני בקרה.</w:t>
      </w:r>
    </w:p>
    <w:p w:rsidR="00BB122F" w:rsidRPr="005B639B" w:rsidRDefault="00BB122F" w:rsidP="00A85269">
      <w:pPr>
        <w:widowControl w:val="0"/>
        <w:autoSpaceDE w:val="0"/>
        <w:autoSpaceDN w:val="0"/>
        <w:adjustRightInd w:val="0"/>
        <w:spacing w:before="102" w:line="360" w:lineRule="auto"/>
        <w:jc w:val="both"/>
        <w:textAlignment w:val="center"/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</w:pPr>
      <w:r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תקנות אלו יותקנו </w:t>
      </w:r>
      <w:r w:rsidRPr="005B639B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מכוח סעיף 158כב(א) לחוק, </w:t>
      </w:r>
      <w:r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כפי </w:t>
      </w:r>
      <w:r w:rsidR="00520C23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שתוקן </w:t>
      </w:r>
      <w:r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בתיקון</w:t>
      </w:r>
      <w:r w:rsidR="00A85269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 מס' 122</w:t>
      </w:r>
      <w:r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Pr="005B639B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המסמיך את </w:t>
      </w:r>
      <w:r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השר הממונה</w:t>
      </w:r>
      <w:r w:rsidRPr="005B639B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 </w:t>
      </w:r>
      <w:r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על הגורם המאשר, </w:t>
      </w:r>
      <w:r w:rsidRPr="005B639B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לקבוע תנאי כשירות נוספים </w:t>
      </w:r>
      <w:r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ל</w:t>
      </w:r>
      <w:r w:rsidRPr="005B639B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בקר מורשה</w:t>
      </w:r>
      <w:r w:rsidRPr="005B639B">
        <w:rPr>
          <w:rFonts w:ascii="Hadasa Roso SL" w:eastAsia="MS Mincho" w:hAnsi="Hadasa Roso SL" w:cs="David" w:hint="cs"/>
          <w:b/>
          <w:color w:val="000000"/>
          <w:spacing w:val="1"/>
          <w:sz w:val="24"/>
          <w:szCs w:val="24"/>
          <w:rtl/>
          <w:lang w:eastAsia="ja-JP"/>
        </w:rPr>
        <w:t>, בנוסף לדרישות שקבע שר האוצר מכוח סעיף 158כ(א) לחוק.</w:t>
      </w:r>
      <w:r w:rsidRPr="005B639B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 </w:t>
      </w:r>
    </w:p>
    <w:p w:rsidR="00371D80" w:rsidRPr="00371D80" w:rsidRDefault="00371D80" w:rsidP="00B3131C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textAlignment w:val="center"/>
        <w:rPr>
          <w:rFonts w:ascii="Hadasa Roso SL" w:eastAsia="MS Mincho" w:hAnsi="Hadasa Roso SL" w:cs="David"/>
          <w:color w:val="000000"/>
          <w:spacing w:val="1"/>
          <w:sz w:val="24"/>
          <w:szCs w:val="24"/>
          <w:u w:val="single"/>
          <w:lang w:eastAsia="ja-JP"/>
        </w:rPr>
      </w:pPr>
      <w:r w:rsidRPr="00371D80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u w:val="single"/>
          <w:rtl/>
          <w:lang w:eastAsia="ja-JP"/>
        </w:rPr>
        <w:t>תקנה 1: הגדרות ופרשנות</w:t>
      </w:r>
    </w:p>
    <w:p w:rsidR="006075BB" w:rsidRDefault="00371D80" w:rsidP="00732976">
      <w:pPr>
        <w:widowControl w:val="0"/>
        <w:autoSpaceDE w:val="0"/>
        <w:autoSpaceDN w:val="0"/>
        <w:adjustRightInd w:val="0"/>
        <w:spacing w:before="102" w:after="0" w:line="360" w:lineRule="auto"/>
        <w:jc w:val="both"/>
        <w:textAlignment w:val="center"/>
        <w:rPr>
          <w:rFonts w:ascii="Calibri" w:eastAsia="Times New Roman" w:hAnsi="Calibri" w:cs="David"/>
          <w:b/>
          <w:snapToGrid w:val="0"/>
          <w:color w:val="000000"/>
          <w:spacing w:val="1"/>
          <w:sz w:val="24"/>
          <w:szCs w:val="24"/>
          <w:u w:val="single"/>
          <w:rtl/>
          <w:lang w:eastAsia="ja-JP"/>
        </w:rPr>
      </w:pPr>
      <w:r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התקנות </w:t>
      </w:r>
      <w:r w:rsidR="00B3131C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מבקשות לה</w:t>
      </w:r>
      <w:r w:rsidR="00732976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בהיר כי </w:t>
      </w:r>
      <w:r w:rsidR="006075BB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"</w:t>
      </w:r>
      <w:r w:rsidRPr="00371D80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בקר</w:t>
      </w:r>
      <w:r w:rsidRPr="00371D80">
        <w:rPr>
          <w:rFonts w:ascii="Calibri" w:eastAsia="Times New Roman" w:hAnsi="Calibri" w:cs="David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Pr="00371D80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מורשה</w:t>
      </w:r>
      <w:r w:rsidRPr="00371D80">
        <w:rPr>
          <w:rFonts w:ascii="Calibri" w:eastAsia="Times New Roman" w:hAnsi="Calibri" w:cs="David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Pr="00371D80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בטיחות</w:t>
      </w:r>
      <w:r w:rsidRPr="00371D80">
        <w:rPr>
          <w:rFonts w:ascii="Calibri" w:eastAsia="Times New Roman" w:hAnsi="Calibri" w:cs="David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Pr="00371D80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אש</w:t>
      </w:r>
      <w:r w:rsidR="006075BB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"</w:t>
      </w:r>
      <w:r w:rsidRPr="00371D80">
        <w:rPr>
          <w:rFonts w:ascii="Calibri" w:eastAsia="Times New Roman" w:hAnsi="Calibri" w:cs="David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732976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הוא </w:t>
      </w:r>
      <w:r w:rsidRPr="00371D80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בקר</w:t>
      </w:r>
      <w:r w:rsidRPr="00371D80">
        <w:rPr>
          <w:rFonts w:ascii="Calibri" w:eastAsia="Times New Roman" w:hAnsi="Calibri" w:cs="David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Pr="00371D80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במכון</w:t>
      </w:r>
      <w:r w:rsidRPr="00371D80">
        <w:rPr>
          <w:rFonts w:ascii="Calibri" w:eastAsia="Times New Roman" w:hAnsi="Calibri" w:cs="David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Pr="00371D80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בקרה</w:t>
      </w:r>
      <w:r w:rsidRPr="00371D80">
        <w:rPr>
          <w:rFonts w:ascii="Calibri" w:eastAsia="Times New Roman" w:hAnsi="Calibri" w:cs="David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Pr="00371D80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כמשמעותו</w:t>
      </w:r>
      <w:r w:rsidRPr="00371D80">
        <w:rPr>
          <w:rFonts w:ascii="Calibri" w:eastAsia="Times New Roman" w:hAnsi="Calibri" w:cs="David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Pr="00371D80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בסעיף</w:t>
      </w:r>
      <w:r w:rsidRPr="00371D80">
        <w:rPr>
          <w:rFonts w:ascii="Calibri" w:eastAsia="Times New Roman" w:hAnsi="Calibri" w:cs="David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 158</w:t>
      </w:r>
      <w:r w:rsidRPr="00371D80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יט</w:t>
      </w:r>
      <w:r w:rsidRPr="00371D80">
        <w:rPr>
          <w:rFonts w:ascii="Calibri" w:eastAsia="Times New Roman" w:hAnsi="Calibri" w:cs="David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Pr="00371D80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לחוק</w:t>
      </w:r>
      <w:r w:rsidRPr="00371D80">
        <w:rPr>
          <w:rFonts w:ascii="Calibri" w:eastAsia="Times New Roman" w:hAnsi="Calibri" w:cs="David"/>
          <w:b/>
          <w:snapToGrid w:val="0"/>
          <w:color w:val="000000"/>
          <w:spacing w:val="1"/>
          <w:sz w:val="24"/>
          <w:szCs w:val="24"/>
          <w:rtl/>
          <w:lang w:eastAsia="ja-JP"/>
        </w:rPr>
        <w:t>,</w:t>
      </w:r>
      <w:r w:rsidR="00732976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 על כל הדרישות והתנאים הכרוכים בכך, אשר </w:t>
      </w:r>
      <w:r w:rsidRPr="00371D80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הוא</w:t>
      </w:r>
      <w:r w:rsidRPr="00371D80">
        <w:rPr>
          <w:rFonts w:ascii="Calibri" w:eastAsia="Times New Roman" w:hAnsi="Calibri" w:cs="David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732976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גם </w:t>
      </w:r>
      <w:r w:rsidRPr="00371D80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בקר</w:t>
      </w:r>
      <w:r w:rsidRPr="00371D80">
        <w:rPr>
          <w:rFonts w:ascii="Calibri" w:eastAsia="Times New Roman" w:hAnsi="Calibri" w:cs="David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Pr="00371D80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מורשה</w:t>
      </w:r>
      <w:r w:rsidRPr="00371D80">
        <w:rPr>
          <w:rFonts w:ascii="Calibri" w:eastAsia="Times New Roman" w:hAnsi="Calibri" w:cs="David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Pr="00371D80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לפי</w:t>
      </w:r>
      <w:r w:rsidRPr="00371D80">
        <w:rPr>
          <w:rFonts w:ascii="Calibri" w:eastAsia="Times New Roman" w:hAnsi="Calibri" w:cs="David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Pr="00371D80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סעיף</w:t>
      </w:r>
      <w:r w:rsidRPr="00371D80">
        <w:rPr>
          <w:rFonts w:ascii="Calibri" w:eastAsia="Times New Roman" w:hAnsi="Calibri" w:cs="David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 158</w:t>
      </w:r>
      <w:r w:rsidRPr="00371D80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כא</w:t>
      </w:r>
      <w:r w:rsidRPr="00371D80">
        <w:rPr>
          <w:rFonts w:ascii="Calibri" w:eastAsia="Times New Roman" w:hAnsi="Calibri" w:cs="David"/>
          <w:b/>
          <w:snapToGrid w:val="0"/>
          <w:color w:val="000000"/>
          <w:spacing w:val="1"/>
          <w:sz w:val="24"/>
          <w:szCs w:val="24"/>
          <w:rtl/>
          <w:lang w:eastAsia="ja-JP"/>
        </w:rPr>
        <w:t>(</w:t>
      </w:r>
      <w:r w:rsidRPr="00371D80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א</w:t>
      </w:r>
      <w:r w:rsidRPr="00371D80">
        <w:rPr>
          <w:rFonts w:ascii="Calibri" w:eastAsia="Times New Roman" w:hAnsi="Calibri" w:cs="David"/>
          <w:b/>
          <w:snapToGrid w:val="0"/>
          <w:color w:val="000000"/>
          <w:spacing w:val="1"/>
          <w:sz w:val="24"/>
          <w:szCs w:val="24"/>
          <w:rtl/>
          <w:lang w:eastAsia="ja-JP"/>
        </w:rPr>
        <w:t xml:space="preserve">)(3) </w:t>
      </w:r>
      <w:r w:rsidRPr="00371D80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לחוק</w:t>
      </w:r>
      <w:r w:rsidR="00732976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rtl/>
          <w:lang w:eastAsia="ja-JP"/>
        </w:rPr>
        <w:t>.</w:t>
      </w:r>
    </w:p>
    <w:p w:rsidR="003F0C6A" w:rsidRDefault="003F0C6A" w:rsidP="00B3131C">
      <w:pPr>
        <w:widowControl w:val="0"/>
        <w:autoSpaceDE w:val="0"/>
        <w:autoSpaceDN w:val="0"/>
        <w:adjustRightInd w:val="0"/>
        <w:spacing w:before="102" w:after="0" w:line="360" w:lineRule="auto"/>
        <w:jc w:val="both"/>
        <w:textAlignment w:val="center"/>
        <w:rPr>
          <w:rFonts w:ascii="Calibri" w:eastAsia="Times New Roman" w:hAnsi="Calibri" w:cs="David"/>
          <w:b/>
          <w:snapToGrid w:val="0"/>
          <w:color w:val="000000"/>
          <w:spacing w:val="1"/>
          <w:sz w:val="24"/>
          <w:szCs w:val="24"/>
          <w:u w:val="single"/>
          <w:rtl/>
          <w:lang w:eastAsia="ja-JP"/>
        </w:rPr>
      </w:pPr>
    </w:p>
    <w:p w:rsidR="00371D80" w:rsidRPr="00371D80" w:rsidRDefault="00371D80" w:rsidP="00B3131C">
      <w:pPr>
        <w:widowControl w:val="0"/>
        <w:autoSpaceDE w:val="0"/>
        <w:autoSpaceDN w:val="0"/>
        <w:adjustRightInd w:val="0"/>
        <w:spacing w:before="102" w:after="0" w:line="360" w:lineRule="auto"/>
        <w:jc w:val="both"/>
        <w:textAlignment w:val="center"/>
        <w:rPr>
          <w:rFonts w:ascii="Calibri" w:eastAsia="Calibri" w:hAnsi="Calibri" w:cs="David"/>
          <w:color w:val="000000"/>
          <w:spacing w:val="1"/>
          <w:sz w:val="24"/>
          <w:szCs w:val="24"/>
          <w:rtl/>
          <w:lang w:eastAsia="ja-JP"/>
        </w:rPr>
      </w:pPr>
      <w:r w:rsidRPr="00371D80">
        <w:rPr>
          <w:rFonts w:ascii="Calibri" w:eastAsia="Times New Roman" w:hAnsi="Calibri" w:cs="David" w:hint="cs"/>
          <w:b/>
          <w:snapToGrid w:val="0"/>
          <w:color w:val="000000"/>
          <w:spacing w:val="1"/>
          <w:sz w:val="24"/>
          <w:szCs w:val="24"/>
          <w:u w:val="single"/>
          <w:rtl/>
          <w:lang w:eastAsia="ja-JP"/>
        </w:rPr>
        <w:t>תקנה 2: תנאי כשירות</w:t>
      </w:r>
    </w:p>
    <w:p w:rsidR="00732976" w:rsidRDefault="006075BB" w:rsidP="00E77D0E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textAlignment w:val="center"/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</w:pPr>
      <w:r w:rsidRPr="006075BB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התקנה</w:t>
      </w:r>
      <w:r w:rsidRPr="006075BB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B3131C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מבקשת לקבוע את </w:t>
      </w:r>
      <w:r w:rsidRPr="006075BB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תנאי</w:t>
      </w:r>
      <w:r w:rsidRPr="006075BB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Pr="006075BB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הכשירות</w:t>
      </w:r>
      <w:r w:rsidRPr="006075BB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Pr="006075BB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וההכשרה</w:t>
      </w:r>
      <w:r w:rsidRPr="006075BB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הנוספים </w:t>
      </w:r>
      <w:r w:rsidR="00E77D0E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המצטברים </w:t>
      </w:r>
      <w:r w:rsidRPr="006075BB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הנדרשים</w:t>
      </w:r>
      <w:r w:rsidRPr="006075BB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Pr="006075BB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מבקר</w:t>
      </w:r>
      <w:r w:rsidRPr="006075BB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Pr="006075BB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מורשה</w:t>
      </w:r>
      <w:r w:rsidRPr="006075BB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B3131C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בתחום בטיחות אש</w:t>
      </w:r>
      <w:r w:rsidR="00E77D0E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, </w:t>
      </w:r>
      <w:r w:rsidR="00732976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מעבר לתנאי הכשירות שנקבעו בחוק או  לפיו. </w:t>
      </w:r>
    </w:p>
    <w:p w:rsidR="006075BB" w:rsidRDefault="00B10ACB" w:rsidP="00B10ACB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textAlignment w:val="center"/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</w:pPr>
      <w:r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תנאי הכשירות הנוספים נדרשים </w:t>
      </w:r>
      <w:r w:rsidR="0041376D" w:rsidRPr="0041376D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נוכח</w:t>
      </w:r>
      <w:r w:rsidR="0041376D" w:rsidRPr="0041376D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41376D" w:rsidRPr="0041376D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חשיבות</w:t>
      </w:r>
      <w:r w:rsidR="0041376D" w:rsidRPr="0041376D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41376D" w:rsidRPr="0041376D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נושא</w:t>
      </w:r>
      <w:r w:rsidR="0041376D" w:rsidRPr="0041376D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41376D" w:rsidRPr="0041376D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בטיחות</w:t>
      </w:r>
      <w:r w:rsidR="0041376D" w:rsidRPr="0041376D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41376D" w:rsidRPr="0041376D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האש</w:t>
      </w:r>
      <w:r w:rsidR="0041376D" w:rsidRPr="0041376D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, </w:t>
      </w:r>
      <w:r w:rsidR="00801FDF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מורכבות הנושא </w:t>
      </w:r>
      <w:r w:rsidR="0041376D" w:rsidRPr="0041376D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והמקצועיות</w:t>
      </w:r>
      <w:r w:rsidR="0041376D" w:rsidRPr="0041376D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41376D" w:rsidRPr="0041376D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הרבה</w:t>
      </w:r>
      <w:r w:rsidR="0041376D" w:rsidRPr="0041376D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41376D" w:rsidRPr="0041376D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הנדרשת</w:t>
      </w:r>
      <w:r w:rsidR="0041376D" w:rsidRPr="0041376D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41376D" w:rsidRPr="0041376D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מבקר</w:t>
      </w:r>
      <w:r w:rsidR="0041376D" w:rsidRPr="0041376D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41376D" w:rsidRPr="0041376D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מורשה</w:t>
      </w:r>
      <w:r w:rsidR="0041376D" w:rsidRPr="0041376D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41376D" w:rsidRPr="0041376D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בטיחות</w:t>
      </w:r>
      <w:r w:rsidR="0041376D" w:rsidRPr="0041376D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41376D" w:rsidRPr="0041376D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אש</w:t>
      </w:r>
      <w:r w:rsidR="00E77D0E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.</w:t>
      </w:r>
      <w:r w:rsidR="006075BB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 </w:t>
      </w:r>
    </w:p>
    <w:p w:rsidR="00801FDF" w:rsidRDefault="003F0C6A" w:rsidP="00801FDF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textAlignment w:val="center"/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</w:pPr>
      <w:r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בהתאמה, </w:t>
      </w:r>
      <w:r w:rsidR="00E77D0E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מוצע </w:t>
      </w:r>
      <w:r w:rsidR="00B3131C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לקבוע </w:t>
      </w:r>
      <w:r w:rsidR="0041376D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כי </w:t>
      </w:r>
      <w:r w:rsidR="006075BB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בתפקיד </w:t>
      </w:r>
      <w:r w:rsidR="00B3131C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בקר מורשה בטיחות אש </w:t>
      </w:r>
      <w:r w:rsidR="006075BB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יוכל לשמש רק </w:t>
      </w:r>
      <w:r w:rsidR="00801FDF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מי </w:t>
      </w:r>
      <w:r w:rsidR="006075BB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ש</w:t>
      </w:r>
      <w:r w:rsidR="006075BB" w:rsidRPr="006075BB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הוא</w:t>
      </w:r>
      <w:r w:rsidR="00801FDF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:</w:t>
      </w:r>
    </w:p>
    <w:p w:rsidR="0041376D" w:rsidRDefault="006075BB" w:rsidP="00B177D8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360" w:lineRule="auto"/>
        <w:ind w:left="466" w:hanging="425"/>
        <w:jc w:val="both"/>
        <w:textAlignment w:val="center"/>
        <w:rPr>
          <w:rFonts w:ascii="Hadasa Roso SL" w:eastAsia="MS Mincho" w:hAnsi="Hadasa Roso SL" w:cs="David"/>
          <w:color w:val="000000"/>
          <w:spacing w:val="1"/>
          <w:sz w:val="24"/>
          <w:szCs w:val="24"/>
          <w:lang w:eastAsia="ja-JP"/>
        </w:rPr>
      </w:pPr>
      <w:r w:rsidRPr="00801FDF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אדריכל</w:t>
      </w:r>
      <w:r w:rsidRPr="00801FDF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רשום</w:t>
      </w:r>
      <w:r w:rsidR="00B177D8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 (ובכלל האמור אדריכל </w:t>
      </w:r>
      <w:proofErr w:type="spellStart"/>
      <w:r w:rsidR="00B177D8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רשוי</w:t>
      </w:r>
      <w:proofErr w:type="spellEnd"/>
      <w:r w:rsidR="00B177D8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)</w:t>
      </w:r>
      <w:r w:rsidRPr="00801FDF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, </w:t>
      </w:r>
      <w:r w:rsidRPr="00801FDF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מהנדס</w:t>
      </w:r>
      <w:r w:rsidRPr="00801FDF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Pr="00801FDF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אזרחי</w:t>
      </w:r>
      <w:r w:rsidRPr="00801FDF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Pr="00801FDF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רשום</w:t>
      </w:r>
      <w:r w:rsidRPr="00801FDF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, </w:t>
      </w:r>
      <w:r w:rsidRPr="00801FDF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מהנדס</w:t>
      </w:r>
      <w:r w:rsidRPr="00801FDF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Pr="00801FDF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בטיחות</w:t>
      </w:r>
      <w:r w:rsidRPr="00801FDF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Pr="00801FDF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רשום</w:t>
      </w:r>
      <w:r w:rsidRPr="00801FDF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Pr="00801FDF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או</w:t>
      </w:r>
      <w:r w:rsidRPr="00801FDF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Pr="00801FDF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מהנדס</w:t>
      </w:r>
      <w:r w:rsidRPr="00801FDF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Pr="00801FDF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בטיחות</w:t>
      </w:r>
      <w:r w:rsidRPr="00801FDF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Pr="00801FDF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אש</w:t>
      </w:r>
      <w:r w:rsidRPr="00801FDF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Pr="00801FDF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רשום</w:t>
      </w:r>
      <w:r w:rsidR="00E77D0E" w:rsidRPr="00801FDF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, וזאת בכפוף להוראת סעיף</w:t>
      </w:r>
      <w:r w:rsidR="00F15271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 158כ(ב)</w:t>
      </w:r>
      <w:r w:rsidR="00E77D0E" w:rsidRPr="00801FDF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 לחוק לפיה</w:t>
      </w:r>
      <w:r w:rsidR="00F15271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 סמכות הבקר תהיה תקפה רק לעניין אותו סוג של פעולות שהוא מוסמך לגביהן לפי חוק המהנדסים והאדריכלים. </w:t>
      </w:r>
    </w:p>
    <w:p w:rsidR="006075BB" w:rsidRDefault="006075BB" w:rsidP="007C7853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360" w:lineRule="auto"/>
        <w:ind w:left="466" w:hanging="425"/>
        <w:jc w:val="both"/>
        <w:textAlignment w:val="center"/>
        <w:rPr>
          <w:rFonts w:ascii="Hadasa Roso SL" w:eastAsia="MS Mincho" w:hAnsi="Hadasa Roso SL" w:cs="David"/>
          <w:color w:val="000000"/>
          <w:spacing w:val="1"/>
          <w:sz w:val="24"/>
          <w:szCs w:val="24"/>
          <w:lang w:eastAsia="ja-JP"/>
        </w:rPr>
      </w:pPr>
      <w:r w:rsidRPr="00801FDF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בעל</w:t>
      </w:r>
      <w:r w:rsidRPr="00801FDF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Pr="00801FDF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ניסיון</w:t>
      </w:r>
      <w:r w:rsidRPr="00801FDF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Pr="00801FDF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מקצועי</w:t>
      </w:r>
      <w:r w:rsidRPr="00801FDF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Pr="00801FDF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של</w:t>
      </w:r>
      <w:r w:rsidRPr="00801FDF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Pr="00801FDF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חמש</w:t>
      </w:r>
      <w:r w:rsidRPr="00801FDF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Pr="00801FDF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שנים</w:t>
      </w:r>
      <w:r w:rsidRPr="00801FDF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Pr="00801FDF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בתחום</w:t>
      </w:r>
      <w:r w:rsidRPr="00801FDF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Pr="00801FDF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התכנון</w:t>
      </w:r>
      <w:r w:rsidR="003C5574" w:rsidRPr="00801FDF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, </w:t>
      </w:r>
      <w:r w:rsidR="00B177D8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ה</w:t>
      </w:r>
      <w:r w:rsidR="003C5574" w:rsidRPr="00801FDF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רישוי או הפיקוח על הבנייה</w:t>
      </w:r>
      <w:r w:rsidRPr="00801FDF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. </w:t>
      </w:r>
    </w:p>
    <w:p w:rsidR="00023869" w:rsidRDefault="006075BB" w:rsidP="00BF5E1F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360" w:lineRule="auto"/>
        <w:ind w:left="466" w:hanging="425"/>
        <w:jc w:val="both"/>
        <w:textAlignment w:val="center"/>
        <w:rPr>
          <w:rFonts w:ascii="Hadasa Roso SL" w:eastAsia="MS Mincho" w:hAnsi="Hadasa Roso SL" w:cs="David"/>
          <w:color w:val="000000"/>
          <w:spacing w:val="1"/>
          <w:sz w:val="24"/>
          <w:szCs w:val="24"/>
          <w:lang w:eastAsia="ja-JP"/>
        </w:rPr>
      </w:pPr>
      <w:r w:rsidRPr="00681038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סיים בהצלחה </w:t>
      </w:r>
      <w:r w:rsidR="003C5574" w:rsidRPr="00681038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את </w:t>
      </w:r>
      <w:r w:rsidRPr="00681038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הכשר</w:t>
      </w:r>
      <w:r w:rsidR="003C5574" w:rsidRPr="00681038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ת רשות הכבאות ל</w:t>
      </w:r>
      <w:r w:rsidRPr="00681038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בקרים מורשים בטיחות אש</w:t>
      </w:r>
      <w:r w:rsidR="003C1506" w:rsidRPr="00681038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 לפי סוגה ותנאיה. מוצע לקבוע כי ב</w:t>
      </w:r>
      <w:r w:rsidR="003C5574" w:rsidRPr="00681038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י</w:t>
      </w:r>
      <w:r w:rsidR="009645BE" w:rsidRPr="00681038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ן</w:t>
      </w:r>
      <w:r w:rsidR="003C5574" w:rsidRPr="00681038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 תכני</w:t>
      </w:r>
      <w:r w:rsidR="003C1506" w:rsidRPr="00681038">
        <w:rPr>
          <w:rFonts w:cs="David" w:hint="cs"/>
          <w:sz w:val="24"/>
          <w:szCs w:val="24"/>
          <w:rtl/>
        </w:rPr>
        <w:t xml:space="preserve"> ההכשרה יכללו</w:t>
      </w:r>
      <w:r w:rsidR="009A0934" w:rsidRPr="00681038">
        <w:rPr>
          <w:rFonts w:cs="David"/>
          <w:sz w:val="24"/>
          <w:szCs w:val="24"/>
          <w:rtl/>
        </w:rPr>
        <w:t xml:space="preserve"> </w:t>
      </w:r>
      <w:r w:rsidR="009A0934" w:rsidRPr="00681038">
        <w:rPr>
          <w:rFonts w:cs="David" w:hint="cs"/>
          <w:sz w:val="24"/>
          <w:szCs w:val="24"/>
          <w:rtl/>
        </w:rPr>
        <w:t>הכשרה</w:t>
      </w:r>
      <w:r w:rsidR="009A0934" w:rsidRPr="00681038">
        <w:rPr>
          <w:rFonts w:cs="David"/>
          <w:sz w:val="24"/>
          <w:szCs w:val="24"/>
          <w:rtl/>
        </w:rPr>
        <w:t xml:space="preserve"> </w:t>
      </w:r>
      <w:r w:rsidR="009A0934" w:rsidRPr="00681038">
        <w:rPr>
          <w:rFonts w:cs="David" w:hint="cs"/>
          <w:sz w:val="24"/>
          <w:szCs w:val="24"/>
          <w:rtl/>
        </w:rPr>
        <w:t>עיונית</w:t>
      </w:r>
      <w:r w:rsidR="009A0934" w:rsidRPr="00681038">
        <w:rPr>
          <w:rFonts w:cs="David"/>
          <w:sz w:val="24"/>
          <w:szCs w:val="24"/>
          <w:rtl/>
        </w:rPr>
        <w:t xml:space="preserve"> </w:t>
      </w:r>
      <w:r w:rsidR="009A0934" w:rsidRPr="00681038">
        <w:rPr>
          <w:rFonts w:cs="David" w:hint="cs"/>
          <w:sz w:val="24"/>
          <w:szCs w:val="24"/>
          <w:rtl/>
        </w:rPr>
        <w:t>ב</w:t>
      </w:r>
      <w:r w:rsidR="009A0934" w:rsidRPr="00681038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הוראות</w:t>
      </w:r>
      <w:r w:rsidR="009A0934" w:rsidRPr="00681038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9A0934" w:rsidRPr="00681038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הדין</w:t>
      </w:r>
      <w:r w:rsidR="009A0934" w:rsidRPr="00681038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, </w:t>
      </w:r>
      <w:r w:rsidR="009A0934" w:rsidRPr="00681038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סמכויות</w:t>
      </w:r>
      <w:r w:rsidR="009A0934" w:rsidRPr="00681038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9A0934" w:rsidRPr="00681038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הבקר</w:t>
      </w:r>
      <w:r w:rsidR="00545AB3" w:rsidRPr="00681038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 המורשה</w:t>
      </w:r>
      <w:r w:rsidR="009A0934" w:rsidRPr="00681038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, </w:t>
      </w:r>
      <w:r w:rsidR="009A0934" w:rsidRPr="00681038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עקרונות</w:t>
      </w:r>
      <w:r w:rsidR="009A0934" w:rsidRPr="00681038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9A0934" w:rsidRPr="00681038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התכנון</w:t>
      </w:r>
      <w:r w:rsidR="009A0934" w:rsidRPr="00681038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9A0934" w:rsidRPr="00681038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של</w:t>
      </w:r>
      <w:r w:rsidR="009A0934" w:rsidRPr="00681038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9A0934" w:rsidRPr="00681038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תכנית</w:t>
      </w:r>
      <w:r w:rsidR="009A0934" w:rsidRPr="00681038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9A0934" w:rsidRPr="00681038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בטיחות</w:t>
      </w:r>
      <w:r w:rsidR="009A0934" w:rsidRPr="00681038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9A0934" w:rsidRPr="00681038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אש</w:t>
      </w:r>
      <w:r w:rsidR="009A0934" w:rsidRPr="00681038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, </w:t>
      </w:r>
      <w:r w:rsidR="009A0934" w:rsidRPr="00681038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וכן</w:t>
      </w:r>
      <w:r w:rsidR="009A0934" w:rsidRPr="00681038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9A0934" w:rsidRPr="00681038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סיורי</w:t>
      </w:r>
      <w:r w:rsidR="009A0934" w:rsidRPr="00681038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9A0934" w:rsidRPr="00681038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שטח</w:t>
      </w:r>
      <w:r w:rsidR="009A0934" w:rsidRPr="00681038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, </w:t>
      </w:r>
      <w:r w:rsidR="009A0934" w:rsidRPr="00681038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תרגול</w:t>
      </w:r>
      <w:r w:rsidR="009A0934" w:rsidRPr="00681038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9A0934" w:rsidRPr="00681038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מעשי</w:t>
      </w:r>
      <w:r w:rsidR="009A0934" w:rsidRPr="00681038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9A0934" w:rsidRPr="00681038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ובחינות.</w:t>
      </w:r>
      <w:r w:rsidR="00681038" w:rsidRPr="00681038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152848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מובהר בתקנה כי </w:t>
      </w:r>
      <w:r w:rsidR="00023869" w:rsidRPr="00681038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בקר י</w:t>
      </w:r>
      <w:r w:rsidR="00B17DC4" w:rsidRPr="00681038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היה כשיר ל</w:t>
      </w:r>
      <w:r w:rsidR="00023869" w:rsidRPr="00681038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שמש כבקר מורשה בטיחות אש רק לגבי סוגי הבניינים לגביהם </w:t>
      </w:r>
      <w:r w:rsidR="00B17DC4" w:rsidRPr="00681038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עמד בהצלחה ב</w:t>
      </w:r>
      <w:r w:rsidR="00023869" w:rsidRPr="00681038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הכשר</w:t>
      </w:r>
      <w:r w:rsidR="00B17DC4" w:rsidRPr="00681038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תו</w:t>
      </w:r>
      <w:r w:rsidR="003C1506" w:rsidRPr="00681038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.</w:t>
      </w:r>
      <w:r w:rsidR="00993BEE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BF5E1F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באפשרות </w:t>
      </w:r>
      <w:r w:rsidR="00993BEE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רשות הכבאות </w:t>
      </w:r>
      <w:r w:rsidR="00BF5E1F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לקבוע </w:t>
      </w:r>
      <w:r w:rsidR="00993BEE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את עלות ההש</w:t>
      </w:r>
      <w:r w:rsidR="00BF5E1F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ת</w:t>
      </w:r>
      <w:r w:rsidR="00993BEE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תפות בהכשרה ובימי שמירת הכשירות.</w:t>
      </w:r>
    </w:p>
    <w:p w:rsidR="005B4AB0" w:rsidRPr="005B4AB0" w:rsidRDefault="005B4AB0" w:rsidP="005B4AB0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textAlignment w:val="center"/>
        <w:rPr>
          <w:rFonts w:ascii="Hadasa Roso SL" w:eastAsia="MS Mincho" w:hAnsi="Hadasa Roso SL" w:cs="David"/>
          <w:color w:val="000000"/>
          <w:spacing w:val="1"/>
          <w:sz w:val="24"/>
          <w:szCs w:val="24"/>
          <w:lang w:eastAsia="ja-JP"/>
        </w:rPr>
      </w:pPr>
    </w:p>
    <w:p w:rsidR="00891BC2" w:rsidRPr="00681038" w:rsidRDefault="00891BC2" w:rsidP="00FD4418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360" w:lineRule="auto"/>
        <w:ind w:left="466" w:hanging="425"/>
        <w:jc w:val="both"/>
        <w:textAlignment w:val="center"/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</w:pPr>
      <w:r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lastRenderedPageBreak/>
        <w:t xml:space="preserve">הוא סיים בהצלחה הליך חניכה </w:t>
      </w:r>
      <w:r w:rsidR="004C65B3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של רשות הכבאות </w:t>
      </w:r>
      <w:r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במסגרתו</w:t>
      </w:r>
      <w:r w:rsidR="004C65B3">
        <w:rPr>
          <w:rFonts w:ascii="Arial" w:eastAsia="Arial Unicode MS" w:hAnsi="Arial" w:cs="David" w:hint="cs"/>
          <w:snapToGrid w:val="0"/>
          <w:color w:val="000000"/>
          <w:sz w:val="24"/>
          <w:szCs w:val="24"/>
          <w:rtl/>
          <w:lang w:eastAsia="ja-JP"/>
        </w:rPr>
        <w:t>, בחן</w:t>
      </w:r>
      <w:r w:rsidR="00ED15C9">
        <w:rPr>
          <w:rFonts w:ascii="Arial" w:eastAsia="Arial Unicode MS" w:hAnsi="Arial" w:cs="David" w:hint="cs"/>
          <w:snapToGrid w:val="0"/>
          <w:color w:val="000000"/>
          <w:sz w:val="24"/>
          <w:szCs w:val="24"/>
          <w:rtl/>
          <w:lang w:eastAsia="ja-JP"/>
        </w:rPr>
        <w:t xml:space="preserve"> בהצלחה</w:t>
      </w:r>
      <w:r w:rsidR="004C65B3">
        <w:rPr>
          <w:rFonts w:ascii="Arial" w:eastAsia="Arial Unicode MS" w:hAnsi="Arial" w:cs="David" w:hint="cs"/>
          <w:snapToGrid w:val="0"/>
          <w:color w:val="000000"/>
          <w:sz w:val="24"/>
          <w:szCs w:val="24"/>
          <w:rtl/>
          <w:lang w:eastAsia="ja-JP"/>
        </w:rPr>
        <w:t xml:space="preserve"> תחת </w:t>
      </w:r>
      <w:r w:rsidR="00337B6F">
        <w:rPr>
          <w:rFonts w:ascii="Arial" w:eastAsia="Arial Unicode MS" w:hAnsi="Arial" w:cs="David" w:hint="cs"/>
          <w:snapToGrid w:val="0"/>
          <w:color w:val="000000"/>
          <w:sz w:val="24"/>
          <w:szCs w:val="24"/>
          <w:rtl/>
          <w:lang w:eastAsia="ja-JP"/>
        </w:rPr>
        <w:t>פיקוח רשות הכבאות לפחות עשר ת</w:t>
      </w:r>
      <w:r w:rsidR="004C65B3">
        <w:rPr>
          <w:rFonts w:ascii="Arial" w:eastAsia="Arial Unicode MS" w:hAnsi="Arial" w:cs="David" w:hint="cs"/>
          <w:snapToGrid w:val="0"/>
          <w:color w:val="000000"/>
          <w:sz w:val="24"/>
          <w:szCs w:val="24"/>
          <w:rtl/>
          <w:lang w:eastAsia="ja-JP"/>
        </w:rPr>
        <w:t>כניות במס</w:t>
      </w:r>
      <w:r w:rsidR="00337B6F">
        <w:rPr>
          <w:rFonts w:ascii="Arial" w:eastAsia="Arial Unicode MS" w:hAnsi="Arial" w:cs="David" w:hint="cs"/>
          <w:snapToGrid w:val="0"/>
          <w:color w:val="000000"/>
          <w:sz w:val="24"/>
          <w:szCs w:val="24"/>
          <w:rtl/>
          <w:lang w:eastAsia="ja-JP"/>
        </w:rPr>
        <w:t xml:space="preserve">גרת בקשה להיתר, </w:t>
      </w:r>
      <w:r w:rsidR="00ED15C9">
        <w:rPr>
          <w:rFonts w:ascii="Arial" w:eastAsia="Arial Unicode MS" w:hAnsi="Arial" w:cs="David" w:hint="cs"/>
          <w:snapToGrid w:val="0"/>
          <w:color w:val="000000"/>
          <w:sz w:val="24"/>
          <w:szCs w:val="24"/>
          <w:rtl/>
          <w:lang w:eastAsia="ja-JP"/>
        </w:rPr>
        <w:t>ואומנם אם לא עמד בהצלחה תינתן לו האפשרות להמשי</w:t>
      </w:r>
      <w:r w:rsidR="00FD4418">
        <w:rPr>
          <w:rFonts w:ascii="Arial" w:eastAsia="Arial Unicode MS" w:hAnsi="Arial" w:cs="David" w:hint="cs"/>
          <w:snapToGrid w:val="0"/>
          <w:color w:val="000000"/>
          <w:sz w:val="24"/>
          <w:szCs w:val="24"/>
          <w:rtl/>
          <w:lang w:eastAsia="ja-JP"/>
        </w:rPr>
        <w:t xml:space="preserve">ך בהליך החניכה בכמות של עד 10 תכניות </w:t>
      </w:r>
      <w:r w:rsidR="00ED15C9">
        <w:rPr>
          <w:rFonts w:ascii="Arial" w:eastAsia="Arial Unicode MS" w:hAnsi="Arial" w:cs="David" w:hint="cs"/>
          <w:snapToGrid w:val="0"/>
          <w:color w:val="000000"/>
          <w:sz w:val="24"/>
          <w:szCs w:val="24"/>
          <w:rtl/>
          <w:lang w:eastAsia="ja-JP"/>
        </w:rPr>
        <w:t xml:space="preserve">נוספות, ובסך </w:t>
      </w:r>
      <w:proofErr w:type="spellStart"/>
      <w:r w:rsidR="00ED15C9">
        <w:rPr>
          <w:rFonts w:ascii="Arial" w:eastAsia="Arial Unicode MS" w:hAnsi="Arial" w:cs="David" w:hint="cs"/>
          <w:snapToGrid w:val="0"/>
          <w:color w:val="000000"/>
          <w:sz w:val="24"/>
          <w:szCs w:val="24"/>
          <w:rtl/>
          <w:lang w:eastAsia="ja-JP"/>
        </w:rPr>
        <w:t>הכל</w:t>
      </w:r>
      <w:proofErr w:type="spellEnd"/>
      <w:r w:rsidR="00ED15C9">
        <w:rPr>
          <w:rFonts w:ascii="Arial" w:eastAsia="Arial Unicode MS" w:hAnsi="Arial" w:cs="David" w:hint="cs"/>
          <w:snapToGrid w:val="0"/>
          <w:color w:val="000000"/>
          <w:sz w:val="24"/>
          <w:szCs w:val="24"/>
          <w:rtl/>
          <w:lang w:eastAsia="ja-JP"/>
        </w:rPr>
        <w:t xml:space="preserve"> לא יותר </w:t>
      </w:r>
      <w:r w:rsidR="00337B6F">
        <w:rPr>
          <w:rFonts w:ascii="Arial" w:eastAsia="Arial Unicode MS" w:hAnsi="Arial" w:cs="David" w:hint="cs"/>
          <w:snapToGrid w:val="0"/>
          <w:color w:val="000000"/>
          <w:sz w:val="24"/>
          <w:szCs w:val="24"/>
          <w:rtl/>
          <w:lang w:eastAsia="ja-JP"/>
        </w:rPr>
        <w:t>מעשרים</w:t>
      </w:r>
      <w:r w:rsidR="004C65B3">
        <w:rPr>
          <w:rFonts w:ascii="Arial" w:eastAsia="Arial Unicode MS" w:hAnsi="Arial" w:cs="David" w:hint="cs"/>
          <w:snapToGrid w:val="0"/>
          <w:color w:val="000000"/>
          <w:sz w:val="24"/>
          <w:szCs w:val="24"/>
          <w:rtl/>
          <w:lang w:eastAsia="ja-JP"/>
        </w:rPr>
        <w:t xml:space="preserve"> תכניות, טרם  שהעביר התייחסותו להן;</w:t>
      </w:r>
    </w:p>
    <w:p w:rsidR="00681038" w:rsidRPr="00681038" w:rsidRDefault="00681038" w:rsidP="007C7853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360" w:lineRule="auto"/>
        <w:ind w:left="466" w:hanging="425"/>
        <w:jc w:val="both"/>
        <w:textAlignment w:val="center"/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</w:pPr>
      <w:r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הוא עומד בדרישות לשמירת כשירותו המקצועית.</w:t>
      </w:r>
    </w:p>
    <w:p w:rsidR="00331BEE" w:rsidRDefault="00331BEE" w:rsidP="00371D80">
      <w:pPr>
        <w:widowControl w:val="0"/>
        <w:autoSpaceDE w:val="0"/>
        <w:autoSpaceDN w:val="0"/>
        <w:adjustRightInd w:val="0"/>
        <w:spacing w:before="60" w:after="60" w:line="360" w:lineRule="auto"/>
        <w:ind w:firstLine="340"/>
        <w:jc w:val="both"/>
        <w:textAlignment w:val="center"/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</w:pPr>
    </w:p>
    <w:p w:rsidR="00450723" w:rsidRPr="00450723" w:rsidRDefault="00450723" w:rsidP="006C1804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textAlignment w:val="center"/>
        <w:rPr>
          <w:rFonts w:ascii="Hadasa Roso SL" w:eastAsia="MS Mincho" w:hAnsi="Hadasa Roso SL" w:cs="David"/>
          <w:color w:val="000000"/>
          <w:spacing w:val="1"/>
          <w:sz w:val="24"/>
          <w:szCs w:val="24"/>
          <w:u w:val="single"/>
          <w:rtl/>
          <w:lang w:eastAsia="ja-JP"/>
        </w:rPr>
      </w:pPr>
      <w:r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u w:val="single"/>
          <w:rtl/>
          <w:lang w:eastAsia="ja-JP"/>
        </w:rPr>
        <w:t xml:space="preserve">תקנה </w:t>
      </w:r>
      <w:r w:rsidRPr="00450723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u w:val="single"/>
          <w:rtl/>
          <w:lang w:eastAsia="ja-JP"/>
        </w:rPr>
        <w:t>3</w:t>
      </w:r>
      <w:r>
        <w:rPr>
          <w:rFonts w:hint="cs"/>
          <w:u w:val="single"/>
          <w:rtl/>
        </w:rPr>
        <w:t xml:space="preserve">: </w:t>
      </w:r>
      <w:r w:rsidRPr="00450723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u w:val="single"/>
          <w:rtl/>
          <w:lang w:eastAsia="ja-JP"/>
        </w:rPr>
        <w:t>שמירת</w:t>
      </w:r>
      <w:r w:rsidRPr="00450723">
        <w:rPr>
          <w:rFonts w:ascii="Hadasa Roso SL" w:eastAsia="MS Mincho" w:hAnsi="Hadasa Roso SL" w:cs="David"/>
          <w:color w:val="000000"/>
          <w:spacing w:val="1"/>
          <w:sz w:val="24"/>
          <w:szCs w:val="24"/>
          <w:u w:val="single"/>
          <w:rtl/>
          <w:lang w:eastAsia="ja-JP"/>
        </w:rPr>
        <w:t xml:space="preserve"> </w:t>
      </w:r>
      <w:r w:rsidRPr="00450723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u w:val="single"/>
          <w:rtl/>
          <w:lang w:eastAsia="ja-JP"/>
        </w:rPr>
        <w:t>כשירות</w:t>
      </w:r>
      <w:r w:rsidRPr="00450723">
        <w:rPr>
          <w:rFonts w:ascii="Hadasa Roso SL" w:eastAsia="MS Mincho" w:hAnsi="Hadasa Roso SL" w:cs="David"/>
          <w:color w:val="000000"/>
          <w:spacing w:val="1"/>
          <w:sz w:val="24"/>
          <w:szCs w:val="24"/>
          <w:u w:val="single"/>
          <w:rtl/>
          <w:lang w:eastAsia="ja-JP"/>
        </w:rPr>
        <w:t xml:space="preserve"> </w:t>
      </w:r>
      <w:r w:rsidRPr="00450723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u w:val="single"/>
          <w:rtl/>
          <w:lang w:eastAsia="ja-JP"/>
        </w:rPr>
        <w:t>מ</w:t>
      </w:r>
      <w:r w:rsidR="006C1804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u w:val="single"/>
          <w:rtl/>
          <w:lang w:eastAsia="ja-JP"/>
        </w:rPr>
        <w:t>קצוע</w:t>
      </w:r>
      <w:r w:rsidRPr="00450723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u w:val="single"/>
          <w:rtl/>
          <w:lang w:eastAsia="ja-JP"/>
        </w:rPr>
        <w:t>ית</w:t>
      </w:r>
      <w:r w:rsidR="009645BE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 </w:t>
      </w:r>
    </w:p>
    <w:p w:rsidR="00D10F6E" w:rsidRDefault="00B177D8" w:rsidP="00B177D8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textAlignment w:val="center"/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</w:pPr>
      <w:r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רשות הכבאות נערכת לכך ש</w:t>
      </w:r>
      <w:r w:rsidR="00D10F6E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בתחילת כל שנה לועזית תינתן תעודה </w:t>
      </w:r>
      <w:r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לבקרים המורשים </w:t>
      </w:r>
      <w:r w:rsidR="00D10F6E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המעידה על שמירת הכשירות. </w:t>
      </w:r>
    </w:p>
    <w:p w:rsidR="00D10F6E" w:rsidRDefault="00450723" w:rsidP="00B75C4B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textAlignment w:val="center"/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</w:pPr>
      <w:r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תקנה 3 </w:t>
      </w:r>
      <w:r w:rsidR="00152848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מ</w:t>
      </w:r>
      <w:r w:rsidR="00B75C4B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בקשת </w:t>
      </w:r>
      <w:r w:rsidR="00152848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לקבוע </w:t>
      </w:r>
      <w:r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את החובה להשתת</w:t>
      </w:r>
      <w:r w:rsidR="001E3F09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ף ב</w:t>
      </w:r>
      <w:r w:rsidR="00B75C4B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מינימום של </w:t>
      </w:r>
      <w:r w:rsidR="001E3F09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שני </w:t>
      </w:r>
      <w:r w:rsidRPr="00450723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ימי</w:t>
      </w:r>
      <w:r w:rsidRPr="00450723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1E3F09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שמירת </w:t>
      </w:r>
      <w:r w:rsidRPr="00450723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כשירות</w:t>
      </w:r>
      <w:r w:rsidRPr="00450723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Pr="00450723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מקצועי</w:t>
      </w:r>
      <w:r w:rsidR="001E3F09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ת</w:t>
      </w:r>
      <w:r w:rsidRPr="00450723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Pr="00450723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שתערוך</w:t>
      </w:r>
      <w:r w:rsidRPr="00450723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Pr="00450723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רשות</w:t>
      </w:r>
      <w:r w:rsidRPr="00450723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Pr="00450723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הכבאות</w:t>
      </w:r>
      <w:r w:rsidR="00ED59C0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, </w:t>
      </w:r>
      <w:r w:rsidR="00D10F6E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לצורך קבלת תעודת כאמור. </w:t>
      </w:r>
    </w:p>
    <w:p w:rsidR="00ED59C0" w:rsidRDefault="00D10F6E" w:rsidP="00B75C4B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textAlignment w:val="center"/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</w:pPr>
      <w:r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חובת ההשתתפות בימי שמירת הכשירות תחול </w:t>
      </w:r>
      <w:r w:rsidR="00ED59C0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החל מהשנה </w:t>
      </w:r>
      <w:proofErr w:type="spellStart"/>
      <w:r w:rsidR="00ED59C0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הקלנדארית</w:t>
      </w:r>
      <w:proofErr w:type="spellEnd"/>
      <w:r w:rsidR="00ED59C0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 שלאחר סיום </w:t>
      </w:r>
      <w:r w:rsidR="00B75C4B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ה</w:t>
      </w:r>
      <w:r w:rsidR="00ED59C0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הכשר</w:t>
      </w:r>
      <w:r w:rsidR="00B75C4B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ה</w:t>
      </w:r>
      <w:r w:rsidR="00ED59C0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.</w:t>
      </w:r>
      <w:r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ED59C0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כלומר, אם הבקר המורשה סיים בהצלחה הכשרתו בשנת 2017</w:t>
      </w:r>
      <w:r w:rsidR="00BC14DC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, במהלך שנת 2018 יהיה עליו להשתתף בשני ימי שמירת כשירות לצורך קבלת תעודת כשירות בתחילת שנת 2019. </w:t>
      </w:r>
    </w:p>
    <w:p w:rsidR="00A329F7" w:rsidRDefault="00D35E45" w:rsidP="003112B5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textAlignment w:val="center"/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</w:pPr>
      <w:r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עוד מוצע להסדיר את הליך החזרה לכשירות ב</w:t>
      </w:r>
      <w:r w:rsidR="0039296C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נסיבות </w:t>
      </w:r>
      <w:r w:rsidR="00450723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בה</w:t>
      </w:r>
      <w:r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ן</w:t>
      </w:r>
      <w:r w:rsidR="0039296C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 בקר מורשה בטיחות אש לא עמד בתנאי הכשירות התקופתיים</w:t>
      </w:r>
      <w:r w:rsidR="00B75C4B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 כאמור</w:t>
      </w:r>
      <w:r w:rsidR="0039296C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, ואת הנדרש ממנו על-מנת </w:t>
      </w:r>
      <w:r w:rsidR="0041376D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לקבל </w:t>
      </w:r>
      <w:r w:rsidR="00331BEE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בנסיבות אלה את </w:t>
      </w:r>
      <w:r w:rsidR="0041376D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אישור </w:t>
      </w:r>
      <w:r w:rsidR="00331BEE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ה</w:t>
      </w:r>
      <w:r w:rsidR="0041376D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כשירות </w:t>
      </w:r>
      <w:r w:rsidR="00331BEE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ה</w:t>
      </w:r>
      <w:r w:rsidR="0041376D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שנתי</w:t>
      </w:r>
      <w:r w:rsidR="00331BEE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 הנדרש</w:t>
      </w:r>
      <w:r w:rsidR="0002053B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. </w:t>
      </w:r>
      <w:r w:rsidR="003112B5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מובהר כי </w:t>
      </w:r>
      <w:r w:rsidR="00A329F7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מי שפג תוקף אישור הכשירות השנתי שלו, </w:t>
      </w:r>
      <w:r w:rsidR="003112B5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אינו מורשה </w:t>
      </w:r>
      <w:r w:rsidR="00A329F7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להפעיל סמכויות בקר מורשה בטיחות אש. </w:t>
      </w:r>
    </w:p>
    <w:p w:rsidR="0002053B" w:rsidRDefault="0002053B" w:rsidP="0002053B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textAlignment w:val="center"/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</w:pPr>
      <w:r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בהתאם למוצע, </w:t>
      </w:r>
      <w:r w:rsidR="00A329F7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אם טרם חלפה שנה מהמועד בו פג תוקפו של אישור הכשירות השנתי, רשאי הבקר לשוב לכשירות על-ידי ה</w:t>
      </w:r>
      <w:r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שלמת ימי הכשירות אותם החסיר. </w:t>
      </w:r>
    </w:p>
    <w:p w:rsidR="00450723" w:rsidRDefault="00400765" w:rsidP="003112B5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textAlignment w:val="center"/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</w:pPr>
      <w:r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אך </w:t>
      </w:r>
      <w:r w:rsidR="00A329F7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אם חלפה </w:t>
      </w:r>
      <w:r w:rsidR="00365FEA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תקופה זו</w:t>
      </w:r>
      <w:r w:rsidR="00A329F7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, </w:t>
      </w:r>
      <w:r w:rsidR="00365FEA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כלומר חלפו שנתיים בהם לא השלים הבקר המורשה את תנאי הכשירות</w:t>
      </w:r>
      <w:r w:rsidR="003112B5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, היינו </w:t>
      </w:r>
      <w:r w:rsidR="00365FEA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השנה בה היה עליו להשתתף בימי הכשירות ו</w:t>
      </w:r>
      <w:r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כן </w:t>
      </w:r>
      <w:r w:rsidR="00365FEA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השנה הנוספת אשר נ</w:t>
      </w:r>
      <w:r w:rsidR="003112B5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י</w:t>
      </w:r>
      <w:r w:rsidR="00365FEA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תנה להשלמתם, יידרש הבקר המורשה </w:t>
      </w:r>
      <w:r w:rsidR="00A329F7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לשוב ולעמוד בהצלחה בהכשרה נוספת לפי </w:t>
      </w:r>
      <w:r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תקנה</w:t>
      </w:r>
      <w:r w:rsidR="00A329F7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 2(ג). </w:t>
      </w:r>
    </w:p>
    <w:p w:rsidR="001D585E" w:rsidRDefault="001D585E" w:rsidP="00450723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textAlignment w:val="center"/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</w:pPr>
    </w:p>
    <w:p w:rsidR="006075BB" w:rsidRPr="00450723" w:rsidRDefault="00450723" w:rsidP="009645BE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textAlignment w:val="center"/>
        <w:rPr>
          <w:rFonts w:ascii="Hadasa Roso SL" w:eastAsia="MS Mincho" w:hAnsi="Hadasa Roso SL" w:cs="David"/>
          <w:color w:val="000000"/>
          <w:spacing w:val="1"/>
          <w:sz w:val="24"/>
          <w:szCs w:val="24"/>
          <w:u w:val="single"/>
          <w:rtl/>
          <w:lang w:eastAsia="ja-JP"/>
        </w:rPr>
      </w:pPr>
      <w:r w:rsidRPr="00450723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u w:val="single"/>
          <w:rtl/>
          <w:lang w:eastAsia="ja-JP"/>
        </w:rPr>
        <w:t>תקנה 4: תחילה ותחולה</w:t>
      </w:r>
    </w:p>
    <w:p w:rsidR="005B639B" w:rsidRPr="00D7603F" w:rsidRDefault="00450723" w:rsidP="007A392F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textAlignment w:val="center"/>
        <w:rPr>
          <w:rFonts w:ascii="Hadasa Roso SL" w:eastAsia="MS Mincho" w:hAnsi="Hadasa Roso SL" w:cs="David"/>
          <w:color w:val="000000"/>
          <w:spacing w:val="1"/>
          <w:sz w:val="24"/>
          <w:szCs w:val="24"/>
          <w:lang w:eastAsia="ja-JP"/>
        </w:rPr>
      </w:pPr>
      <w:r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כיוון שכבר בוצע</w:t>
      </w:r>
      <w:r w:rsidR="00400765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ו</w:t>
      </w:r>
      <w:r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Pr="00450723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הכשר</w:t>
      </w:r>
      <w:r w:rsidR="00400765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ו</w:t>
      </w:r>
      <w:r w:rsidRPr="00450723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ת</w:t>
      </w:r>
      <w:r w:rsidRPr="00450723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Pr="00450723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בקרים</w:t>
      </w:r>
      <w:r w:rsidRPr="00450723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Pr="00450723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מורשים</w:t>
      </w:r>
      <w:r w:rsidRPr="00450723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Pr="00450723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בטיחות</w:t>
      </w:r>
      <w:r w:rsidRPr="00450723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Pr="00450723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אש</w:t>
      </w:r>
      <w:r w:rsidRPr="00450723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Pr="00450723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של</w:t>
      </w:r>
      <w:r w:rsidRPr="00450723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Pr="00450723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רשות</w:t>
      </w:r>
      <w:r w:rsidRPr="00450723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Pr="00450723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הכבאות</w:t>
      </w:r>
      <w:r w:rsidRPr="00450723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Pr="00450723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טרם</w:t>
      </w:r>
      <w:r w:rsidRPr="00450723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Pr="00450723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כניסת</w:t>
      </w:r>
      <w:r w:rsidRPr="00450723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Pr="00450723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התקנות</w:t>
      </w:r>
      <w:r w:rsidRPr="00450723">
        <w:rPr>
          <w:rFonts w:ascii="Hadasa Roso SL" w:eastAsia="MS Mincho" w:hAnsi="Hadasa Roso SL" w:cs="David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Pr="00450723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לתוקף</w:t>
      </w:r>
      <w:r w:rsidR="00400765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 במסגרת ההערכות לתחילת פעולת מכוני הבקרה</w:t>
      </w:r>
      <w:r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, </w:t>
      </w:r>
      <w:r w:rsidR="00400765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מוצע לקבוע ב</w:t>
      </w:r>
      <w:r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תקנה 4 </w:t>
      </w:r>
      <w:r w:rsidR="00E7550D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כי</w:t>
      </w:r>
      <w:r w:rsidR="005B7E9C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 לעניין בקרים מורשים אשר השלימו </w:t>
      </w:r>
      <w:r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הכשר</w:t>
      </w:r>
      <w:r w:rsidR="005B7E9C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תם</w:t>
      </w:r>
      <w:r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400765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טרם כניסת התקנות לתוקף</w:t>
      </w:r>
      <w:r w:rsidR="007A392F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,</w:t>
      </w:r>
      <w:r w:rsidR="005B7E9C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 יראו לעניין שמי</w:t>
      </w:r>
      <w:r w:rsidR="002D55DB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רת הכשירות את מועד סיום הכשרתם כאילו חל בסוף שנת 2018,</w:t>
      </w:r>
      <w:r w:rsidR="008675E2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BF7582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ובהתאמה ידרשו </w:t>
      </w:r>
      <w:r w:rsidR="008675E2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 </w:t>
      </w:r>
      <w:r w:rsidR="00BF7582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>להשתתף בימי שמירת הכשירות המקצועית</w:t>
      </w:r>
      <w:r w:rsidR="007C7853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 החל משנת 2019 ואילך</w:t>
      </w:r>
      <w:r w:rsidR="008675E2">
        <w:rPr>
          <w:rFonts w:ascii="Hadasa Roso SL" w:eastAsia="MS Mincho" w:hAnsi="Hadasa Roso SL" w:cs="David" w:hint="cs"/>
          <w:color w:val="000000"/>
          <w:spacing w:val="1"/>
          <w:sz w:val="24"/>
          <w:szCs w:val="24"/>
          <w:rtl/>
          <w:lang w:eastAsia="ja-JP"/>
        </w:rPr>
        <w:t xml:space="preserve">. </w:t>
      </w:r>
    </w:p>
    <w:sectPr w:rsidR="005B639B" w:rsidRPr="00D7603F" w:rsidSect="00853D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2552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98E" w:rsidRDefault="00D8398E" w:rsidP="00A05654">
      <w:pPr>
        <w:spacing w:after="0" w:line="240" w:lineRule="auto"/>
      </w:pPr>
      <w:r>
        <w:separator/>
      </w:r>
    </w:p>
  </w:endnote>
  <w:endnote w:type="continuationSeparator" w:id="0">
    <w:p w:rsidR="00D8398E" w:rsidRDefault="00D8398E" w:rsidP="00A0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A12" w:rsidRDefault="00C00A12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A12" w:rsidRDefault="00C00A12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A12" w:rsidRDefault="00C00A1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98E" w:rsidRDefault="00D8398E" w:rsidP="00A05654">
      <w:pPr>
        <w:spacing w:after="0" w:line="240" w:lineRule="auto"/>
      </w:pPr>
      <w:r>
        <w:separator/>
      </w:r>
    </w:p>
  </w:footnote>
  <w:footnote w:type="continuationSeparator" w:id="0">
    <w:p w:rsidR="00D8398E" w:rsidRDefault="00D8398E" w:rsidP="00A05654">
      <w:pPr>
        <w:spacing w:after="0" w:line="240" w:lineRule="auto"/>
      </w:pPr>
      <w:r>
        <w:continuationSeparator/>
      </w:r>
    </w:p>
  </w:footnote>
  <w:footnote w:id="1">
    <w:p w:rsidR="00422FAE" w:rsidRPr="00EF2688" w:rsidRDefault="00422FAE" w:rsidP="00E7043A">
      <w:pPr>
        <w:pStyle w:val="a3"/>
        <w:rPr>
          <w:rFonts w:cs="David"/>
          <w:rtl/>
        </w:rPr>
      </w:pPr>
      <w:r w:rsidRPr="00EF2688">
        <w:rPr>
          <w:rStyle w:val="a5"/>
          <w:rFonts w:cs="David"/>
        </w:rPr>
        <w:footnoteRef/>
      </w:r>
      <w:r w:rsidRPr="00EF2688">
        <w:rPr>
          <w:rFonts w:cs="David"/>
          <w:rtl/>
        </w:rPr>
        <w:t xml:space="preserve"> </w:t>
      </w:r>
      <w:r w:rsidR="003767F5" w:rsidRPr="00EF2688">
        <w:rPr>
          <w:rFonts w:cs="David" w:hint="cs"/>
          <w:rtl/>
        </w:rPr>
        <w:t>ס</w:t>
      </w:r>
      <w:r w:rsidR="003767F5" w:rsidRPr="00EF2688">
        <w:rPr>
          <w:rFonts w:cs="David"/>
          <w:rtl/>
        </w:rPr>
        <w:t>"</w:t>
      </w:r>
      <w:r w:rsidR="003767F5" w:rsidRPr="00EF2688">
        <w:rPr>
          <w:rFonts w:cs="David" w:hint="cs"/>
          <w:rtl/>
        </w:rPr>
        <w:t>ח</w:t>
      </w:r>
      <w:r w:rsidR="003767F5" w:rsidRPr="00EF2688">
        <w:rPr>
          <w:rFonts w:cs="David"/>
          <w:rtl/>
        </w:rPr>
        <w:t xml:space="preserve"> 467</w:t>
      </w:r>
      <w:r w:rsidR="00A05F14">
        <w:rPr>
          <w:rFonts w:cs="David" w:hint="cs"/>
          <w:rtl/>
        </w:rPr>
        <w:t>,</w:t>
      </w:r>
      <w:r w:rsidR="00E7043A">
        <w:rPr>
          <w:rFonts w:hint="cs"/>
          <w:rtl/>
        </w:rPr>
        <w:t xml:space="preserve"> </w:t>
      </w:r>
      <w:proofErr w:type="spellStart"/>
      <w:r w:rsidR="00E7043A" w:rsidRPr="00E7043A">
        <w:rPr>
          <w:rFonts w:cs="David" w:hint="cs"/>
          <w:rtl/>
        </w:rPr>
        <w:t>התשכ</w:t>
      </w:r>
      <w:r w:rsidR="00E7043A" w:rsidRPr="00E7043A">
        <w:rPr>
          <w:rFonts w:cs="David"/>
          <w:rtl/>
        </w:rPr>
        <w:t>"</w:t>
      </w:r>
      <w:r w:rsidR="00E7043A" w:rsidRPr="00E7043A">
        <w:rPr>
          <w:rFonts w:cs="David" w:hint="cs"/>
          <w:rtl/>
        </w:rPr>
        <w:t>ה</w:t>
      </w:r>
      <w:proofErr w:type="spellEnd"/>
      <w:r w:rsidR="00E7043A">
        <w:rPr>
          <w:rFonts w:cs="David" w:hint="cs"/>
          <w:rtl/>
        </w:rPr>
        <w:t>.</w:t>
      </w:r>
    </w:p>
  </w:footnote>
  <w:footnote w:id="2">
    <w:p w:rsidR="007405F1" w:rsidRPr="00EF2688" w:rsidRDefault="007405F1" w:rsidP="00A05F14">
      <w:pPr>
        <w:pStyle w:val="a3"/>
        <w:rPr>
          <w:rFonts w:cs="David"/>
          <w:rtl/>
        </w:rPr>
      </w:pPr>
      <w:r w:rsidRPr="00EF2688">
        <w:rPr>
          <w:rStyle w:val="a5"/>
          <w:rFonts w:cs="David"/>
        </w:rPr>
        <w:footnoteRef/>
      </w:r>
      <w:r w:rsidRPr="00EF2688">
        <w:rPr>
          <w:rFonts w:cs="David"/>
          <w:rtl/>
        </w:rPr>
        <w:t xml:space="preserve"> </w:t>
      </w:r>
      <w:r w:rsidR="003767F5" w:rsidRPr="00EF2688">
        <w:rPr>
          <w:rFonts w:cs="David" w:hint="cs"/>
          <w:rtl/>
        </w:rPr>
        <w:t>ס</w:t>
      </w:r>
      <w:r w:rsidR="003767F5" w:rsidRPr="00EF2688">
        <w:rPr>
          <w:rFonts w:cs="David"/>
          <w:rtl/>
        </w:rPr>
        <w:t>"</w:t>
      </w:r>
      <w:r w:rsidR="003767F5" w:rsidRPr="00EF2688">
        <w:rPr>
          <w:rFonts w:cs="David" w:hint="cs"/>
          <w:rtl/>
        </w:rPr>
        <w:t>ח</w:t>
      </w:r>
      <w:r w:rsidR="003767F5" w:rsidRPr="00EF2688">
        <w:rPr>
          <w:rFonts w:cs="David"/>
          <w:rtl/>
        </w:rPr>
        <w:t xml:space="preserve"> 250</w:t>
      </w:r>
      <w:r w:rsidR="00A05F14">
        <w:rPr>
          <w:rFonts w:cs="David" w:hint="cs"/>
          <w:rtl/>
        </w:rPr>
        <w:t>,</w:t>
      </w:r>
      <w:r w:rsidR="00E7043A" w:rsidRPr="00E7043A">
        <w:rPr>
          <w:rFonts w:hint="cs"/>
          <w:rtl/>
        </w:rPr>
        <w:t xml:space="preserve"> </w:t>
      </w:r>
      <w:proofErr w:type="spellStart"/>
      <w:r w:rsidR="00E7043A" w:rsidRPr="00E7043A">
        <w:rPr>
          <w:rFonts w:cs="David" w:hint="cs"/>
          <w:rtl/>
        </w:rPr>
        <w:t>התשי</w:t>
      </w:r>
      <w:r w:rsidR="00E7043A" w:rsidRPr="00E7043A">
        <w:rPr>
          <w:rFonts w:cs="David"/>
          <w:rtl/>
        </w:rPr>
        <w:t>"</w:t>
      </w:r>
      <w:r w:rsidR="00E7043A" w:rsidRPr="00E7043A">
        <w:rPr>
          <w:rFonts w:cs="David" w:hint="cs"/>
          <w:rtl/>
        </w:rPr>
        <w:t>ח</w:t>
      </w:r>
      <w:proofErr w:type="spellEnd"/>
      <w:r w:rsidR="00E7043A">
        <w:rPr>
          <w:rFonts w:cs="David"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A12" w:rsidRDefault="00C00A1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A12" w:rsidRDefault="00C00A1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A12" w:rsidRDefault="00C00A1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40AC"/>
    <w:multiLevelType w:val="hybridMultilevel"/>
    <w:tmpl w:val="85FC8E30"/>
    <w:lvl w:ilvl="0" w:tplc="8E643BF8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62853"/>
    <w:multiLevelType w:val="hybridMultilevel"/>
    <w:tmpl w:val="1F10E930"/>
    <w:lvl w:ilvl="0" w:tplc="6950A84C">
      <w:start w:val="4"/>
      <w:numFmt w:val="bullet"/>
      <w:lvlText w:val="-"/>
      <w:lvlJc w:val="left"/>
      <w:pPr>
        <w:ind w:left="720" w:hanging="360"/>
      </w:pPr>
      <w:rPr>
        <w:rFonts w:ascii="Hadasa Roso SL" w:eastAsia="MS Mincho" w:hAnsi="Hadasa Roso S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7416B"/>
    <w:multiLevelType w:val="hybridMultilevel"/>
    <w:tmpl w:val="DD30FAD4"/>
    <w:lvl w:ilvl="0" w:tplc="5D2AB1E4">
      <w:start w:val="1"/>
      <w:numFmt w:val="hebrew1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50123"/>
    <w:multiLevelType w:val="hybridMultilevel"/>
    <w:tmpl w:val="87543A6E"/>
    <w:lvl w:ilvl="0" w:tplc="930E2120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70F9E"/>
    <w:multiLevelType w:val="hybridMultilevel"/>
    <w:tmpl w:val="9646869A"/>
    <w:lvl w:ilvl="0" w:tplc="158ABD24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E264A"/>
    <w:multiLevelType w:val="hybridMultilevel"/>
    <w:tmpl w:val="388002CA"/>
    <w:lvl w:ilvl="0" w:tplc="6958E736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04096"/>
    <w:multiLevelType w:val="hybridMultilevel"/>
    <w:tmpl w:val="1428B728"/>
    <w:lvl w:ilvl="0" w:tplc="2C6CB44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02CF8"/>
    <w:multiLevelType w:val="hybridMultilevel"/>
    <w:tmpl w:val="D20A5FC8"/>
    <w:lvl w:ilvl="0" w:tplc="BD6C68A4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1362A"/>
    <w:multiLevelType w:val="hybridMultilevel"/>
    <w:tmpl w:val="5F9683B4"/>
    <w:lvl w:ilvl="0" w:tplc="8E3C2D72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32F7D"/>
    <w:multiLevelType w:val="hybridMultilevel"/>
    <w:tmpl w:val="0C1CEE08"/>
    <w:lvl w:ilvl="0" w:tplc="20B2C2F0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C544D"/>
    <w:multiLevelType w:val="hybridMultilevel"/>
    <w:tmpl w:val="15223594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D2AB1E4">
      <w:start w:val="1"/>
      <w:numFmt w:val="hebrew1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50"/>
    <w:rsid w:val="0000364F"/>
    <w:rsid w:val="00003754"/>
    <w:rsid w:val="00003F27"/>
    <w:rsid w:val="0002053B"/>
    <w:rsid w:val="00023869"/>
    <w:rsid w:val="00030EF3"/>
    <w:rsid w:val="00050CC7"/>
    <w:rsid w:val="00050F85"/>
    <w:rsid w:val="000516FE"/>
    <w:rsid w:val="000549BB"/>
    <w:rsid w:val="0007243E"/>
    <w:rsid w:val="0008511A"/>
    <w:rsid w:val="00086F59"/>
    <w:rsid w:val="000A0B79"/>
    <w:rsid w:val="000A6E4C"/>
    <w:rsid w:val="000B269E"/>
    <w:rsid w:val="000B3673"/>
    <w:rsid w:val="000B3A1E"/>
    <w:rsid w:val="000B63A6"/>
    <w:rsid w:val="000B77CF"/>
    <w:rsid w:val="000C6062"/>
    <w:rsid w:val="000E2A7F"/>
    <w:rsid w:val="000E6E55"/>
    <w:rsid w:val="000F6E0C"/>
    <w:rsid w:val="00103309"/>
    <w:rsid w:val="0010430D"/>
    <w:rsid w:val="00115606"/>
    <w:rsid w:val="00131B07"/>
    <w:rsid w:val="00134A35"/>
    <w:rsid w:val="00140782"/>
    <w:rsid w:val="00152848"/>
    <w:rsid w:val="001608B4"/>
    <w:rsid w:val="00161C90"/>
    <w:rsid w:val="001639C6"/>
    <w:rsid w:val="00170B0B"/>
    <w:rsid w:val="001825BE"/>
    <w:rsid w:val="0019728D"/>
    <w:rsid w:val="001B0312"/>
    <w:rsid w:val="001B5F50"/>
    <w:rsid w:val="001C2DDB"/>
    <w:rsid w:val="001C66AD"/>
    <w:rsid w:val="001D539A"/>
    <w:rsid w:val="001D585E"/>
    <w:rsid w:val="001D6883"/>
    <w:rsid w:val="001D7438"/>
    <w:rsid w:val="001E0F88"/>
    <w:rsid w:val="001E1E40"/>
    <w:rsid w:val="001E3F09"/>
    <w:rsid w:val="001E559C"/>
    <w:rsid w:val="001E7ABB"/>
    <w:rsid w:val="001F11F6"/>
    <w:rsid w:val="00202329"/>
    <w:rsid w:val="00207CF7"/>
    <w:rsid w:val="00214F04"/>
    <w:rsid w:val="002165EA"/>
    <w:rsid w:val="0022008D"/>
    <w:rsid w:val="002316AE"/>
    <w:rsid w:val="002341F5"/>
    <w:rsid w:val="00244DA1"/>
    <w:rsid w:val="00254D0D"/>
    <w:rsid w:val="00260478"/>
    <w:rsid w:val="00260CAE"/>
    <w:rsid w:val="00260CE7"/>
    <w:rsid w:val="002628AD"/>
    <w:rsid w:val="002730ED"/>
    <w:rsid w:val="00287449"/>
    <w:rsid w:val="002C0ACB"/>
    <w:rsid w:val="002D0175"/>
    <w:rsid w:val="002D22E1"/>
    <w:rsid w:val="002D55DB"/>
    <w:rsid w:val="002D77A7"/>
    <w:rsid w:val="002F48EA"/>
    <w:rsid w:val="002F61F5"/>
    <w:rsid w:val="002F7C5E"/>
    <w:rsid w:val="00304681"/>
    <w:rsid w:val="003112B5"/>
    <w:rsid w:val="0031143D"/>
    <w:rsid w:val="0031439D"/>
    <w:rsid w:val="00316EE6"/>
    <w:rsid w:val="00324C50"/>
    <w:rsid w:val="003255AB"/>
    <w:rsid w:val="00331BEE"/>
    <w:rsid w:val="00336C59"/>
    <w:rsid w:val="00337B6F"/>
    <w:rsid w:val="00337DF1"/>
    <w:rsid w:val="00344DD1"/>
    <w:rsid w:val="00350CB3"/>
    <w:rsid w:val="003541BC"/>
    <w:rsid w:val="003600D1"/>
    <w:rsid w:val="00365FEA"/>
    <w:rsid w:val="00371D80"/>
    <w:rsid w:val="00371DE6"/>
    <w:rsid w:val="00375692"/>
    <w:rsid w:val="00375E87"/>
    <w:rsid w:val="003765FF"/>
    <w:rsid w:val="003767F5"/>
    <w:rsid w:val="00380BEA"/>
    <w:rsid w:val="003827D5"/>
    <w:rsid w:val="0038388E"/>
    <w:rsid w:val="00391329"/>
    <w:rsid w:val="00391995"/>
    <w:rsid w:val="0039296C"/>
    <w:rsid w:val="003A3409"/>
    <w:rsid w:val="003A63E5"/>
    <w:rsid w:val="003C1506"/>
    <w:rsid w:val="003C254F"/>
    <w:rsid w:val="003C5574"/>
    <w:rsid w:val="003D552A"/>
    <w:rsid w:val="003E61FB"/>
    <w:rsid w:val="003E62AE"/>
    <w:rsid w:val="003F0C6A"/>
    <w:rsid w:val="003F14AD"/>
    <w:rsid w:val="00400765"/>
    <w:rsid w:val="0041376D"/>
    <w:rsid w:val="004173B8"/>
    <w:rsid w:val="00421977"/>
    <w:rsid w:val="00422FAE"/>
    <w:rsid w:val="00427506"/>
    <w:rsid w:val="004427EB"/>
    <w:rsid w:val="00443692"/>
    <w:rsid w:val="00450723"/>
    <w:rsid w:val="00472F3C"/>
    <w:rsid w:val="00474F75"/>
    <w:rsid w:val="00485F74"/>
    <w:rsid w:val="00496DEE"/>
    <w:rsid w:val="004B4D9E"/>
    <w:rsid w:val="004B658A"/>
    <w:rsid w:val="004C630E"/>
    <w:rsid w:val="004C6485"/>
    <w:rsid w:val="004C65B3"/>
    <w:rsid w:val="004D0533"/>
    <w:rsid w:val="00520C23"/>
    <w:rsid w:val="00521CF2"/>
    <w:rsid w:val="00544B85"/>
    <w:rsid w:val="00545AB3"/>
    <w:rsid w:val="00552AE6"/>
    <w:rsid w:val="00573D56"/>
    <w:rsid w:val="00575F5B"/>
    <w:rsid w:val="005864F4"/>
    <w:rsid w:val="00587552"/>
    <w:rsid w:val="00595F04"/>
    <w:rsid w:val="005A7CA8"/>
    <w:rsid w:val="005B4AB0"/>
    <w:rsid w:val="005B639B"/>
    <w:rsid w:val="005B7E9C"/>
    <w:rsid w:val="005C2342"/>
    <w:rsid w:val="005C5166"/>
    <w:rsid w:val="005C6A1E"/>
    <w:rsid w:val="005E3C71"/>
    <w:rsid w:val="005E3C7A"/>
    <w:rsid w:val="005F39F9"/>
    <w:rsid w:val="00603005"/>
    <w:rsid w:val="006075BB"/>
    <w:rsid w:val="00614A7D"/>
    <w:rsid w:val="00617786"/>
    <w:rsid w:val="00627350"/>
    <w:rsid w:val="0062791C"/>
    <w:rsid w:val="00631DC8"/>
    <w:rsid w:val="006408F2"/>
    <w:rsid w:val="00646662"/>
    <w:rsid w:val="006565D7"/>
    <w:rsid w:val="006650EF"/>
    <w:rsid w:val="00670459"/>
    <w:rsid w:val="00681038"/>
    <w:rsid w:val="00685474"/>
    <w:rsid w:val="00687DFB"/>
    <w:rsid w:val="006C1804"/>
    <w:rsid w:val="006C7040"/>
    <w:rsid w:val="006F32C4"/>
    <w:rsid w:val="0070561D"/>
    <w:rsid w:val="00706A8A"/>
    <w:rsid w:val="00716CF3"/>
    <w:rsid w:val="00731C88"/>
    <w:rsid w:val="00732976"/>
    <w:rsid w:val="007405F1"/>
    <w:rsid w:val="00745F3B"/>
    <w:rsid w:val="00747D61"/>
    <w:rsid w:val="0075558C"/>
    <w:rsid w:val="00762B9A"/>
    <w:rsid w:val="007762F9"/>
    <w:rsid w:val="00784956"/>
    <w:rsid w:val="00784E98"/>
    <w:rsid w:val="00790A91"/>
    <w:rsid w:val="00797D99"/>
    <w:rsid w:val="007A1909"/>
    <w:rsid w:val="007A392F"/>
    <w:rsid w:val="007B6A00"/>
    <w:rsid w:val="007B7571"/>
    <w:rsid w:val="007C0F0E"/>
    <w:rsid w:val="007C7853"/>
    <w:rsid w:val="007E3797"/>
    <w:rsid w:val="007E73B3"/>
    <w:rsid w:val="007F1ED1"/>
    <w:rsid w:val="00801FDF"/>
    <w:rsid w:val="00803135"/>
    <w:rsid w:val="00810D20"/>
    <w:rsid w:val="0081243D"/>
    <w:rsid w:val="00814E96"/>
    <w:rsid w:val="0082580B"/>
    <w:rsid w:val="0083459C"/>
    <w:rsid w:val="0084381C"/>
    <w:rsid w:val="00851B19"/>
    <w:rsid w:val="00853D31"/>
    <w:rsid w:val="00854883"/>
    <w:rsid w:val="00855E9D"/>
    <w:rsid w:val="00860EEC"/>
    <w:rsid w:val="00861474"/>
    <w:rsid w:val="00862EFC"/>
    <w:rsid w:val="00867129"/>
    <w:rsid w:val="008675E2"/>
    <w:rsid w:val="00870032"/>
    <w:rsid w:val="00870197"/>
    <w:rsid w:val="00872D21"/>
    <w:rsid w:val="00873F40"/>
    <w:rsid w:val="008746EE"/>
    <w:rsid w:val="00874955"/>
    <w:rsid w:val="008761DB"/>
    <w:rsid w:val="00876B70"/>
    <w:rsid w:val="00891BC2"/>
    <w:rsid w:val="00896D5A"/>
    <w:rsid w:val="008A307D"/>
    <w:rsid w:val="008A5108"/>
    <w:rsid w:val="008B27EF"/>
    <w:rsid w:val="008B550B"/>
    <w:rsid w:val="008B6C49"/>
    <w:rsid w:val="008C6823"/>
    <w:rsid w:val="008C7BB4"/>
    <w:rsid w:val="008D382E"/>
    <w:rsid w:val="008D3C4A"/>
    <w:rsid w:val="008F5444"/>
    <w:rsid w:val="009022C4"/>
    <w:rsid w:val="00902952"/>
    <w:rsid w:val="00912D78"/>
    <w:rsid w:val="00930DD8"/>
    <w:rsid w:val="009362B0"/>
    <w:rsid w:val="00941AFD"/>
    <w:rsid w:val="00944951"/>
    <w:rsid w:val="0095630C"/>
    <w:rsid w:val="00957BD9"/>
    <w:rsid w:val="009621BE"/>
    <w:rsid w:val="009645BE"/>
    <w:rsid w:val="00964AA3"/>
    <w:rsid w:val="00965B48"/>
    <w:rsid w:val="009662E2"/>
    <w:rsid w:val="009668F5"/>
    <w:rsid w:val="00970734"/>
    <w:rsid w:val="00971DC8"/>
    <w:rsid w:val="009825DE"/>
    <w:rsid w:val="00982EBB"/>
    <w:rsid w:val="00983E4B"/>
    <w:rsid w:val="00993BEE"/>
    <w:rsid w:val="00993DF6"/>
    <w:rsid w:val="009940C6"/>
    <w:rsid w:val="0099516F"/>
    <w:rsid w:val="009A0934"/>
    <w:rsid w:val="009B1A76"/>
    <w:rsid w:val="009E03F2"/>
    <w:rsid w:val="009F1820"/>
    <w:rsid w:val="00A01592"/>
    <w:rsid w:val="00A05654"/>
    <w:rsid w:val="00A058DD"/>
    <w:rsid w:val="00A05F14"/>
    <w:rsid w:val="00A14E3D"/>
    <w:rsid w:val="00A2102A"/>
    <w:rsid w:val="00A22AAB"/>
    <w:rsid w:val="00A30B9D"/>
    <w:rsid w:val="00A329F7"/>
    <w:rsid w:val="00A40491"/>
    <w:rsid w:val="00A76222"/>
    <w:rsid w:val="00A83678"/>
    <w:rsid w:val="00A85269"/>
    <w:rsid w:val="00A907C4"/>
    <w:rsid w:val="00A95E3F"/>
    <w:rsid w:val="00A96F6B"/>
    <w:rsid w:val="00AA6A2F"/>
    <w:rsid w:val="00AB23CA"/>
    <w:rsid w:val="00AB51F8"/>
    <w:rsid w:val="00AB713D"/>
    <w:rsid w:val="00AB7C73"/>
    <w:rsid w:val="00AC0AA0"/>
    <w:rsid w:val="00AD1D4A"/>
    <w:rsid w:val="00AD4952"/>
    <w:rsid w:val="00AE7E01"/>
    <w:rsid w:val="00B10ACB"/>
    <w:rsid w:val="00B177D8"/>
    <w:rsid w:val="00B17DC4"/>
    <w:rsid w:val="00B264EA"/>
    <w:rsid w:val="00B27B9A"/>
    <w:rsid w:val="00B3131C"/>
    <w:rsid w:val="00B31379"/>
    <w:rsid w:val="00B32046"/>
    <w:rsid w:val="00B362EC"/>
    <w:rsid w:val="00B63F16"/>
    <w:rsid w:val="00B75C4B"/>
    <w:rsid w:val="00B80D7D"/>
    <w:rsid w:val="00B8508E"/>
    <w:rsid w:val="00B8559A"/>
    <w:rsid w:val="00B90485"/>
    <w:rsid w:val="00B93D33"/>
    <w:rsid w:val="00B952F2"/>
    <w:rsid w:val="00BA0D7E"/>
    <w:rsid w:val="00BA1FD4"/>
    <w:rsid w:val="00BA2581"/>
    <w:rsid w:val="00BB122F"/>
    <w:rsid w:val="00BB1865"/>
    <w:rsid w:val="00BB201A"/>
    <w:rsid w:val="00BB6AFF"/>
    <w:rsid w:val="00BC0512"/>
    <w:rsid w:val="00BC14DC"/>
    <w:rsid w:val="00BC6379"/>
    <w:rsid w:val="00BD2C8C"/>
    <w:rsid w:val="00BD335A"/>
    <w:rsid w:val="00BD512B"/>
    <w:rsid w:val="00BF21F9"/>
    <w:rsid w:val="00BF321D"/>
    <w:rsid w:val="00BF372C"/>
    <w:rsid w:val="00BF5E1F"/>
    <w:rsid w:val="00BF7582"/>
    <w:rsid w:val="00C00025"/>
    <w:rsid w:val="00C00A12"/>
    <w:rsid w:val="00C04286"/>
    <w:rsid w:val="00C0711A"/>
    <w:rsid w:val="00C24E16"/>
    <w:rsid w:val="00C35A97"/>
    <w:rsid w:val="00C57238"/>
    <w:rsid w:val="00C65255"/>
    <w:rsid w:val="00C664D9"/>
    <w:rsid w:val="00C73C7A"/>
    <w:rsid w:val="00C83913"/>
    <w:rsid w:val="00C976B5"/>
    <w:rsid w:val="00CA6844"/>
    <w:rsid w:val="00CB2582"/>
    <w:rsid w:val="00CC04C8"/>
    <w:rsid w:val="00CC1AAE"/>
    <w:rsid w:val="00CE1AED"/>
    <w:rsid w:val="00CF160E"/>
    <w:rsid w:val="00CF1A0E"/>
    <w:rsid w:val="00CF30F3"/>
    <w:rsid w:val="00CF37D2"/>
    <w:rsid w:val="00CF3B1B"/>
    <w:rsid w:val="00D0654C"/>
    <w:rsid w:val="00D10F6E"/>
    <w:rsid w:val="00D15D61"/>
    <w:rsid w:val="00D35E45"/>
    <w:rsid w:val="00D41F62"/>
    <w:rsid w:val="00D5217E"/>
    <w:rsid w:val="00D62F7A"/>
    <w:rsid w:val="00D633CD"/>
    <w:rsid w:val="00D64C4C"/>
    <w:rsid w:val="00D664CB"/>
    <w:rsid w:val="00D66F7E"/>
    <w:rsid w:val="00D67151"/>
    <w:rsid w:val="00D742C2"/>
    <w:rsid w:val="00D7603F"/>
    <w:rsid w:val="00D77F43"/>
    <w:rsid w:val="00D8398E"/>
    <w:rsid w:val="00D914B0"/>
    <w:rsid w:val="00D9660B"/>
    <w:rsid w:val="00DA1256"/>
    <w:rsid w:val="00DA15BA"/>
    <w:rsid w:val="00DA3BEA"/>
    <w:rsid w:val="00DA6C63"/>
    <w:rsid w:val="00DB2495"/>
    <w:rsid w:val="00DC21EF"/>
    <w:rsid w:val="00DC3602"/>
    <w:rsid w:val="00DD33AE"/>
    <w:rsid w:val="00DD5A3A"/>
    <w:rsid w:val="00DE0965"/>
    <w:rsid w:val="00DE0B66"/>
    <w:rsid w:val="00DE0D46"/>
    <w:rsid w:val="00DE3AD5"/>
    <w:rsid w:val="00DF6BF6"/>
    <w:rsid w:val="00E1039E"/>
    <w:rsid w:val="00E1096B"/>
    <w:rsid w:val="00E14EDB"/>
    <w:rsid w:val="00E21A62"/>
    <w:rsid w:val="00E27245"/>
    <w:rsid w:val="00E30D0F"/>
    <w:rsid w:val="00E379BA"/>
    <w:rsid w:val="00E505C0"/>
    <w:rsid w:val="00E563B4"/>
    <w:rsid w:val="00E565CC"/>
    <w:rsid w:val="00E57CEE"/>
    <w:rsid w:val="00E7043A"/>
    <w:rsid w:val="00E7550D"/>
    <w:rsid w:val="00E75F5F"/>
    <w:rsid w:val="00E774E0"/>
    <w:rsid w:val="00E77D0E"/>
    <w:rsid w:val="00E80457"/>
    <w:rsid w:val="00E85D34"/>
    <w:rsid w:val="00E9047D"/>
    <w:rsid w:val="00EA24D5"/>
    <w:rsid w:val="00EB53C4"/>
    <w:rsid w:val="00EB69E5"/>
    <w:rsid w:val="00EC45DF"/>
    <w:rsid w:val="00ED04B2"/>
    <w:rsid w:val="00ED15C9"/>
    <w:rsid w:val="00ED1D74"/>
    <w:rsid w:val="00ED3C72"/>
    <w:rsid w:val="00ED59C0"/>
    <w:rsid w:val="00EE2A88"/>
    <w:rsid w:val="00EF2688"/>
    <w:rsid w:val="00EF49AA"/>
    <w:rsid w:val="00EF5448"/>
    <w:rsid w:val="00F10613"/>
    <w:rsid w:val="00F15271"/>
    <w:rsid w:val="00F23E5A"/>
    <w:rsid w:val="00F3178F"/>
    <w:rsid w:val="00F5695A"/>
    <w:rsid w:val="00F70741"/>
    <w:rsid w:val="00F90484"/>
    <w:rsid w:val="00FA4A75"/>
    <w:rsid w:val="00FA66C1"/>
    <w:rsid w:val="00FC4422"/>
    <w:rsid w:val="00FC4588"/>
    <w:rsid w:val="00FC6318"/>
    <w:rsid w:val="00FD4418"/>
    <w:rsid w:val="00FD4EEF"/>
    <w:rsid w:val="00FE0ADB"/>
    <w:rsid w:val="00FF00EC"/>
    <w:rsid w:val="00FF0C63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5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05654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A05654"/>
    <w:rPr>
      <w:sz w:val="20"/>
      <w:szCs w:val="20"/>
    </w:rPr>
  </w:style>
  <w:style w:type="character" w:styleId="a5">
    <w:name w:val="footnote reference"/>
    <w:aliases w:val="Footnote Reference"/>
    <w:basedOn w:val="a0"/>
    <w:semiHidden/>
    <w:rsid w:val="00A05654"/>
    <w:rPr>
      <w:vertAlign w:val="superscript"/>
    </w:rPr>
  </w:style>
  <w:style w:type="table" w:styleId="a6">
    <w:name w:val="Table Grid"/>
    <w:basedOn w:val="a1"/>
    <w:rsid w:val="00A0565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B1865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BB186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1865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BB186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1865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BB186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B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0"/>
    <w:link w:val="ad"/>
    <w:uiPriority w:val="99"/>
    <w:semiHidden/>
    <w:rsid w:val="00BB1865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C00A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עליונה תו"/>
    <w:basedOn w:val="a0"/>
    <w:link w:val="af"/>
    <w:uiPriority w:val="99"/>
    <w:rsid w:val="00C00A12"/>
  </w:style>
  <w:style w:type="paragraph" w:styleId="af1">
    <w:name w:val="footer"/>
    <w:basedOn w:val="a"/>
    <w:link w:val="af2"/>
    <w:uiPriority w:val="99"/>
    <w:unhideWhenUsed/>
    <w:rsid w:val="00C00A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2">
    <w:name w:val="כותרת תחתונה תו"/>
    <w:basedOn w:val="a0"/>
    <w:link w:val="af1"/>
    <w:uiPriority w:val="99"/>
    <w:rsid w:val="00C00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5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05654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A05654"/>
    <w:rPr>
      <w:sz w:val="20"/>
      <w:szCs w:val="20"/>
    </w:rPr>
  </w:style>
  <w:style w:type="character" w:styleId="a5">
    <w:name w:val="footnote reference"/>
    <w:aliases w:val="Footnote Reference"/>
    <w:basedOn w:val="a0"/>
    <w:semiHidden/>
    <w:rsid w:val="00A05654"/>
    <w:rPr>
      <w:vertAlign w:val="superscript"/>
    </w:rPr>
  </w:style>
  <w:style w:type="table" w:styleId="a6">
    <w:name w:val="Table Grid"/>
    <w:basedOn w:val="a1"/>
    <w:rsid w:val="00A0565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B1865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BB186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1865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BB186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1865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BB186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B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0"/>
    <w:link w:val="ad"/>
    <w:uiPriority w:val="99"/>
    <w:semiHidden/>
    <w:rsid w:val="00BB1865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C00A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עליונה תו"/>
    <w:basedOn w:val="a0"/>
    <w:link w:val="af"/>
    <w:uiPriority w:val="99"/>
    <w:rsid w:val="00C00A12"/>
  </w:style>
  <w:style w:type="paragraph" w:styleId="af1">
    <w:name w:val="footer"/>
    <w:basedOn w:val="a"/>
    <w:link w:val="af2"/>
    <w:uiPriority w:val="99"/>
    <w:unhideWhenUsed/>
    <w:rsid w:val="00C00A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2">
    <w:name w:val="כותרת תחתונה תו"/>
    <w:basedOn w:val="a0"/>
    <w:link w:val="af1"/>
    <w:uiPriority w:val="99"/>
    <w:rsid w:val="00C00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61B5BAE19C0A94ABF7F052772C71F14" ma:contentTypeVersion="1" ma:contentTypeDescription="צור מסמך חדש." ma:contentTypeScope="" ma:versionID="4c4e7c02a57e54f45d23c2b2cc14d8d5">
  <xsd:schema xmlns:xsd="http://www.w3.org/2001/XMLSchema" xmlns:p="http://schemas.microsoft.com/office/2006/metadata/properties" xmlns:ns2="d2589617-2f74-4077-aee7-f516ed639388" targetNamespace="http://schemas.microsoft.com/office/2006/metadata/properties" ma:root="true" ma:fieldsID="07cad186b484ecc037a0bd5112bdf38e" ns2:_="">
    <xsd:import namespace="d2589617-2f74-4077-aee7-f516ed639388"/>
    <xsd:element name="properties">
      <xsd:complexType>
        <xsd:sequence>
          <xsd:element name="documentManagement">
            <xsd:complexType>
              <xsd:all>
                <xsd:element ref="ns2:RefNumb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2589617-2f74-4077-aee7-f516ed639388" elementFormDefault="qualified">
    <xsd:import namespace="http://schemas.microsoft.com/office/2006/documentManagement/types"/>
    <xsd:element name="RefNumber" ma:index="8" nillable="true" ma:displayName="RefNumber" ma:description="מס' טופס" ma:internalName="Ref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 ma:readOnly="true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RefNumber xmlns="d2589617-2f74-4077-aee7-f516ed639388">43926</RefNumber>
  </documentManagement>
</p:properties>
</file>

<file path=customXml/itemProps1.xml><?xml version="1.0" encoding="utf-8"?>
<ds:datastoreItem xmlns:ds="http://schemas.openxmlformats.org/officeDocument/2006/customXml" ds:itemID="{F1D4E4DE-20C0-4EFE-8409-F3EB98D176FF}"/>
</file>

<file path=customXml/itemProps2.xml><?xml version="1.0" encoding="utf-8"?>
<ds:datastoreItem xmlns:ds="http://schemas.openxmlformats.org/officeDocument/2006/customXml" ds:itemID="{DA560A64-7CC7-4F95-A3C8-9779B1E2F2AE}"/>
</file>

<file path=customXml/itemProps3.xml><?xml version="1.0" encoding="utf-8"?>
<ds:datastoreItem xmlns:ds="http://schemas.openxmlformats.org/officeDocument/2006/customXml" ds:itemID="{5010187A-DCBA-4D78-9B4B-8E8E76B86A71}"/>
</file>

<file path=customXml/itemProps4.xml><?xml version="1.0" encoding="utf-8"?>
<ds:datastoreItem xmlns:ds="http://schemas.openxmlformats.org/officeDocument/2006/customXml" ds:itemID="{A95AFC9C-7977-42B9-8E45-8E5DEC142D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Fire Department Israel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טיוטת תקנות כשירות בקרים 7.3.18 - להפצה.docx</dc:title>
  <dc:creator>תומר חזות</dc:creator>
  <cp:lastModifiedBy>אפרת ליפשיץ-פרקש</cp:lastModifiedBy>
  <cp:revision>3</cp:revision>
  <cp:lastPrinted>2018-02-15T08:04:00Z</cp:lastPrinted>
  <dcterms:created xsi:type="dcterms:W3CDTF">2018-03-08T06:45:00Z</dcterms:created>
  <dcterms:modified xsi:type="dcterms:W3CDTF">2018-03-08T13:07:00Z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0x010100161B5BAE19C0A94ABF7F052772C71F14</vt:lpwstr>
  </property>
</Properties>
</file>