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CDA" w:rsidRDefault="00F72CDA" w:rsidP="00F72CDA">
      <w:pPr>
        <w:ind w:right="-426"/>
        <w:jc w:val="center"/>
        <w:rPr>
          <w:rFonts w:cs="David"/>
          <w:b/>
          <w:bCs/>
          <w:sz w:val="24"/>
          <w:szCs w:val="24"/>
          <w:rtl/>
        </w:rPr>
      </w:pPr>
      <w:bookmarkStart w:id="0" w:name="_GoBack"/>
      <w:bookmarkEnd w:id="0"/>
      <w:r w:rsidRPr="00650FF3">
        <w:rPr>
          <w:rFonts w:cs="David" w:hint="cs"/>
          <w:b/>
          <w:bCs/>
          <w:sz w:val="24"/>
          <w:szCs w:val="24"/>
          <w:u w:val="single"/>
          <w:rtl/>
        </w:rPr>
        <w:t>תזכיר</w:t>
      </w:r>
      <w:r w:rsidRPr="00650FF3">
        <w:rPr>
          <w:rFonts w:cs="David"/>
          <w:b/>
          <w:bCs/>
          <w:sz w:val="24"/>
          <w:szCs w:val="24"/>
          <w:u w:val="single"/>
          <w:rtl/>
        </w:rPr>
        <w:t xml:space="preserve"> </w:t>
      </w:r>
      <w:r w:rsidRPr="00650FF3">
        <w:rPr>
          <w:rFonts w:cs="David" w:hint="cs"/>
          <w:b/>
          <w:bCs/>
          <w:sz w:val="24"/>
          <w:szCs w:val="24"/>
          <w:u w:val="single"/>
          <w:rtl/>
        </w:rPr>
        <w:t>חוק</w:t>
      </w:r>
      <w:r w:rsidRPr="00650FF3">
        <w:rPr>
          <w:rFonts w:cs="David"/>
          <w:b/>
          <w:bCs/>
          <w:sz w:val="24"/>
          <w:szCs w:val="24"/>
          <w:u w:val="single"/>
          <w:rtl/>
        </w:rPr>
        <w:t xml:space="preserve"> </w:t>
      </w:r>
      <w:r w:rsidRPr="00650FF3">
        <w:rPr>
          <w:rFonts w:cs="David" w:hint="cs"/>
          <w:b/>
          <w:bCs/>
          <w:sz w:val="24"/>
          <w:szCs w:val="24"/>
          <w:u w:val="single"/>
          <w:rtl/>
        </w:rPr>
        <w:t>ההגבלים</w:t>
      </w:r>
      <w:r w:rsidRPr="00650FF3">
        <w:rPr>
          <w:rFonts w:cs="David"/>
          <w:b/>
          <w:bCs/>
          <w:sz w:val="24"/>
          <w:szCs w:val="24"/>
          <w:u w:val="single"/>
          <w:rtl/>
        </w:rPr>
        <w:t xml:space="preserve"> </w:t>
      </w:r>
      <w:r w:rsidRPr="00650FF3">
        <w:rPr>
          <w:rFonts w:cs="David" w:hint="cs"/>
          <w:b/>
          <w:bCs/>
          <w:sz w:val="24"/>
          <w:szCs w:val="24"/>
          <w:u w:val="single"/>
          <w:rtl/>
        </w:rPr>
        <w:t>העסקיים</w:t>
      </w:r>
      <w:r w:rsidRPr="00650FF3">
        <w:rPr>
          <w:rFonts w:cs="David"/>
          <w:b/>
          <w:bCs/>
          <w:sz w:val="24"/>
          <w:szCs w:val="24"/>
          <w:u w:val="single"/>
          <w:rtl/>
        </w:rPr>
        <w:t xml:space="preserve"> (</w:t>
      </w:r>
      <w:r w:rsidRPr="00650FF3">
        <w:rPr>
          <w:rFonts w:cs="David" w:hint="cs"/>
          <w:b/>
          <w:bCs/>
          <w:sz w:val="24"/>
          <w:szCs w:val="24"/>
          <w:u w:val="single"/>
          <w:rtl/>
        </w:rPr>
        <w:t>תיקון</w:t>
      </w:r>
      <w:r w:rsidRPr="00650FF3">
        <w:rPr>
          <w:rFonts w:cs="David"/>
          <w:b/>
          <w:bCs/>
          <w:sz w:val="24"/>
          <w:szCs w:val="24"/>
          <w:u w:val="single"/>
          <w:rtl/>
        </w:rPr>
        <w:t xml:space="preserve"> </w:t>
      </w:r>
      <w:r w:rsidRPr="00650FF3">
        <w:rPr>
          <w:rFonts w:cs="David" w:hint="cs"/>
          <w:b/>
          <w:bCs/>
          <w:sz w:val="24"/>
          <w:szCs w:val="24"/>
          <w:u w:val="single"/>
          <w:rtl/>
        </w:rPr>
        <w:t>מס</w:t>
      </w:r>
      <w:r w:rsidRPr="00650FF3">
        <w:rPr>
          <w:rFonts w:cs="David"/>
          <w:b/>
          <w:bCs/>
          <w:sz w:val="24"/>
          <w:szCs w:val="24"/>
          <w:u w:val="single"/>
          <w:rtl/>
        </w:rPr>
        <w:t>'</w:t>
      </w:r>
      <w:r w:rsidRPr="00650FF3">
        <w:rPr>
          <w:rFonts w:cs="David" w:hint="cs"/>
          <w:b/>
          <w:bCs/>
          <w:sz w:val="24"/>
          <w:szCs w:val="24"/>
          <w:u w:val="single"/>
          <w:rtl/>
        </w:rPr>
        <w:t>...) (הסרת חסמים בתחום היבוא</w:t>
      </w:r>
      <w:r w:rsidRPr="00650FF3">
        <w:rPr>
          <w:rFonts w:cs="David"/>
          <w:b/>
          <w:bCs/>
          <w:sz w:val="24"/>
          <w:szCs w:val="24"/>
          <w:u w:val="single"/>
          <w:rtl/>
        </w:rPr>
        <w:t>)</w:t>
      </w:r>
      <w:r w:rsidR="001804B0">
        <w:rPr>
          <w:rFonts w:cs="David" w:hint="cs"/>
          <w:b/>
          <w:bCs/>
          <w:sz w:val="24"/>
          <w:szCs w:val="24"/>
          <w:u w:val="single"/>
          <w:rtl/>
        </w:rPr>
        <w:t>(הוראת שעה)</w:t>
      </w:r>
      <w:r w:rsidRPr="00650FF3">
        <w:rPr>
          <w:rFonts w:cs="David"/>
          <w:b/>
          <w:bCs/>
          <w:sz w:val="24"/>
          <w:szCs w:val="24"/>
          <w:u w:val="single"/>
          <w:rtl/>
        </w:rPr>
        <w:t xml:space="preserve">, </w:t>
      </w:r>
      <w:r w:rsidRPr="00650FF3">
        <w:rPr>
          <w:rFonts w:cs="David" w:hint="cs"/>
          <w:b/>
          <w:bCs/>
          <w:sz w:val="24"/>
          <w:szCs w:val="24"/>
          <w:u w:val="single"/>
          <w:rtl/>
        </w:rPr>
        <w:t>התשע"ז</w:t>
      </w:r>
      <w:r w:rsidRPr="00650FF3">
        <w:rPr>
          <w:rFonts w:cs="David" w:hint="eastAsia"/>
          <w:b/>
          <w:bCs/>
          <w:sz w:val="24"/>
          <w:szCs w:val="24"/>
          <w:u w:val="single"/>
          <w:rtl/>
        </w:rPr>
        <w:t>–</w:t>
      </w:r>
      <w:r w:rsidRPr="00650FF3">
        <w:rPr>
          <w:rFonts w:cs="David" w:hint="cs"/>
          <w:b/>
          <w:bCs/>
          <w:sz w:val="24"/>
          <w:szCs w:val="24"/>
          <w:u w:val="single"/>
          <w:rtl/>
        </w:rPr>
        <w:t>2017</w:t>
      </w:r>
    </w:p>
    <w:p w:rsidR="00BE0A90" w:rsidRPr="00650FF3" w:rsidRDefault="00BE0A90" w:rsidP="00F72CDA">
      <w:pPr>
        <w:ind w:right="-426"/>
        <w:jc w:val="center"/>
        <w:rPr>
          <w:rFonts w:cs="David"/>
          <w:b/>
          <w:bCs/>
          <w:sz w:val="24"/>
          <w:szCs w:val="24"/>
          <w:rtl/>
        </w:rPr>
      </w:pPr>
    </w:p>
    <w:p w:rsidR="00F72CDA" w:rsidRPr="00650FF3" w:rsidRDefault="00F72CDA" w:rsidP="00F72CDA">
      <w:pPr>
        <w:spacing w:line="360" w:lineRule="auto"/>
        <w:ind w:right="-426"/>
        <w:jc w:val="center"/>
        <w:rPr>
          <w:rFonts w:ascii="Garamond" w:hAnsi="Garamond" w:cs="David"/>
          <w:b/>
          <w:bCs/>
          <w:sz w:val="24"/>
          <w:szCs w:val="24"/>
        </w:rPr>
      </w:pPr>
      <w:r w:rsidRPr="00650FF3">
        <w:rPr>
          <w:rFonts w:ascii="Garamond" w:hAnsi="Garamond" w:cs="David" w:hint="cs"/>
          <w:b/>
          <w:bCs/>
          <w:sz w:val="24"/>
          <w:szCs w:val="24"/>
          <w:rtl/>
        </w:rPr>
        <w:t>*הבהרה: תזכיר זה מפורסם מחדש בהמשך להערות הציבור שהתקבלו לתזכיר שפורסם ביום 31.3.15</w:t>
      </w:r>
    </w:p>
    <w:p w:rsidR="00F72CDA" w:rsidRPr="00650FF3" w:rsidRDefault="00F72CDA" w:rsidP="00F72CDA">
      <w:pPr>
        <w:ind w:right="-426"/>
        <w:jc w:val="center"/>
        <w:rPr>
          <w:rFonts w:cs="David"/>
          <w:b/>
          <w:bCs/>
          <w:sz w:val="24"/>
          <w:szCs w:val="24"/>
          <w:rtl/>
        </w:rPr>
      </w:pPr>
    </w:p>
    <w:p w:rsidR="00F72CDA" w:rsidRPr="00650FF3" w:rsidRDefault="00F72CDA" w:rsidP="00F72CDA">
      <w:pPr>
        <w:pStyle w:val="aa"/>
        <w:numPr>
          <w:ilvl w:val="0"/>
          <w:numId w:val="5"/>
        </w:numPr>
        <w:ind w:right="-426"/>
        <w:jc w:val="both"/>
        <w:rPr>
          <w:b/>
          <w:bCs/>
          <w:szCs w:val="24"/>
          <w:u w:val="single"/>
          <w:rtl/>
        </w:rPr>
      </w:pPr>
      <w:r w:rsidRPr="00650FF3">
        <w:rPr>
          <w:b/>
          <w:bCs/>
          <w:szCs w:val="24"/>
          <w:u w:val="single"/>
          <w:rtl/>
        </w:rPr>
        <w:t>שם החוק המוצע:</w:t>
      </w:r>
    </w:p>
    <w:p w:rsidR="00F72CDA" w:rsidRPr="00650FF3" w:rsidRDefault="00F72CDA" w:rsidP="00F72CDA">
      <w:pPr>
        <w:spacing w:line="240" w:lineRule="auto"/>
        <w:ind w:left="360" w:right="-426" w:firstLine="360"/>
        <w:rPr>
          <w:rFonts w:cs="David"/>
          <w:sz w:val="24"/>
          <w:szCs w:val="24"/>
          <w:rtl/>
        </w:rPr>
      </w:pPr>
      <w:r w:rsidRPr="00650FF3">
        <w:rPr>
          <w:rFonts w:cs="David" w:hint="cs"/>
          <w:sz w:val="24"/>
          <w:szCs w:val="24"/>
          <w:rtl/>
        </w:rPr>
        <w:t>הצעת</w:t>
      </w:r>
      <w:r w:rsidRPr="00650FF3">
        <w:rPr>
          <w:rFonts w:cs="David"/>
          <w:sz w:val="24"/>
          <w:szCs w:val="24"/>
          <w:rtl/>
        </w:rPr>
        <w:t xml:space="preserve"> </w:t>
      </w:r>
      <w:r w:rsidRPr="00650FF3">
        <w:rPr>
          <w:rFonts w:cs="David" w:hint="cs"/>
          <w:sz w:val="24"/>
          <w:szCs w:val="24"/>
          <w:rtl/>
        </w:rPr>
        <w:t>חוק</w:t>
      </w:r>
      <w:r w:rsidRPr="00650FF3">
        <w:rPr>
          <w:rFonts w:cs="David"/>
          <w:sz w:val="24"/>
          <w:szCs w:val="24"/>
          <w:rtl/>
        </w:rPr>
        <w:t xml:space="preserve"> </w:t>
      </w:r>
      <w:r w:rsidRPr="00650FF3">
        <w:rPr>
          <w:rFonts w:cs="David" w:hint="cs"/>
          <w:sz w:val="24"/>
          <w:szCs w:val="24"/>
          <w:rtl/>
        </w:rPr>
        <w:t>ההגבלים</w:t>
      </w:r>
      <w:r w:rsidRPr="00650FF3">
        <w:rPr>
          <w:rFonts w:cs="David"/>
          <w:sz w:val="24"/>
          <w:szCs w:val="24"/>
          <w:rtl/>
        </w:rPr>
        <w:t xml:space="preserve"> </w:t>
      </w:r>
      <w:r w:rsidRPr="00650FF3">
        <w:rPr>
          <w:rFonts w:cs="David" w:hint="cs"/>
          <w:sz w:val="24"/>
          <w:szCs w:val="24"/>
          <w:rtl/>
        </w:rPr>
        <w:t>העסקיים</w:t>
      </w:r>
      <w:r w:rsidRPr="00650FF3">
        <w:rPr>
          <w:rFonts w:cs="David"/>
          <w:sz w:val="24"/>
          <w:szCs w:val="24"/>
          <w:rtl/>
        </w:rPr>
        <w:t xml:space="preserve"> (</w:t>
      </w:r>
      <w:r w:rsidRPr="00650FF3">
        <w:rPr>
          <w:rFonts w:cs="David" w:hint="cs"/>
          <w:sz w:val="24"/>
          <w:szCs w:val="24"/>
          <w:rtl/>
        </w:rPr>
        <w:t>תיקון</w:t>
      </w:r>
      <w:r w:rsidRPr="00650FF3">
        <w:rPr>
          <w:rFonts w:cs="David"/>
          <w:sz w:val="24"/>
          <w:szCs w:val="24"/>
          <w:rtl/>
        </w:rPr>
        <w:t xml:space="preserve"> </w:t>
      </w:r>
      <w:r w:rsidRPr="00650FF3">
        <w:rPr>
          <w:rFonts w:cs="David" w:hint="cs"/>
          <w:sz w:val="24"/>
          <w:szCs w:val="24"/>
          <w:rtl/>
        </w:rPr>
        <w:t>מס</w:t>
      </w:r>
      <w:r w:rsidRPr="00650FF3">
        <w:rPr>
          <w:rFonts w:cs="David"/>
          <w:sz w:val="24"/>
          <w:szCs w:val="24"/>
          <w:rtl/>
        </w:rPr>
        <w:t>' --)</w:t>
      </w:r>
      <w:r w:rsidRPr="00650FF3">
        <w:rPr>
          <w:rFonts w:cs="David" w:hint="cs"/>
          <w:sz w:val="24"/>
          <w:szCs w:val="24"/>
          <w:rtl/>
        </w:rPr>
        <w:t xml:space="preserve"> (</w:t>
      </w:r>
      <w:r w:rsidRPr="00650FF3">
        <w:rPr>
          <w:rFonts w:cs="David"/>
          <w:sz w:val="24"/>
          <w:szCs w:val="24"/>
          <w:rtl/>
        </w:rPr>
        <w:t>הסרת חסמים בתחום היבוא</w:t>
      </w:r>
      <w:r w:rsidRPr="00650FF3">
        <w:rPr>
          <w:rFonts w:cs="David" w:hint="cs"/>
          <w:sz w:val="24"/>
          <w:szCs w:val="24"/>
          <w:rtl/>
        </w:rPr>
        <w:t>)</w:t>
      </w:r>
      <w:r w:rsidRPr="00650FF3">
        <w:rPr>
          <w:rFonts w:cs="David"/>
          <w:sz w:val="24"/>
          <w:szCs w:val="24"/>
          <w:rtl/>
        </w:rPr>
        <w:t xml:space="preserve">, </w:t>
      </w:r>
      <w:r w:rsidRPr="00650FF3">
        <w:rPr>
          <w:rFonts w:cs="David" w:hint="cs"/>
          <w:sz w:val="24"/>
          <w:szCs w:val="24"/>
          <w:rtl/>
        </w:rPr>
        <w:t>התשע</w:t>
      </w:r>
      <w:r w:rsidRPr="00650FF3">
        <w:rPr>
          <w:rFonts w:cs="David"/>
          <w:sz w:val="24"/>
          <w:szCs w:val="24"/>
          <w:rtl/>
        </w:rPr>
        <w:t>"</w:t>
      </w:r>
      <w:r w:rsidRPr="00650FF3">
        <w:rPr>
          <w:rFonts w:cs="David" w:hint="cs"/>
          <w:sz w:val="24"/>
          <w:szCs w:val="24"/>
          <w:rtl/>
        </w:rPr>
        <w:t>ז</w:t>
      </w:r>
      <w:r w:rsidRPr="00650FF3">
        <w:rPr>
          <w:rFonts w:cs="David"/>
          <w:sz w:val="24"/>
          <w:szCs w:val="24"/>
          <w:rtl/>
        </w:rPr>
        <w:t>–</w:t>
      </w:r>
      <w:r w:rsidRPr="00650FF3">
        <w:rPr>
          <w:rFonts w:cs="David" w:hint="cs"/>
          <w:sz w:val="24"/>
          <w:szCs w:val="24"/>
          <w:rtl/>
        </w:rPr>
        <w:t>2017</w:t>
      </w:r>
    </w:p>
    <w:p w:rsidR="00F72CDA" w:rsidRPr="00650FF3" w:rsidRDefault="00F72CDA" w:rsidP="00F72CDA">
      <w:pPr>
        <w:spacing w:line="240" w:lineRule="auto"/>
        <w:ind w:left="360" w:right="-426" w:firstLine="360"/>
        <w:rPr>
          <w:rFonts w:cs="David"/>
          <w:sz w:val="24"/>
          <w:szCs w:val="24"/>
          <w:rtl/>
        </w:rPr>
      </w:pPr>
    </w:p>
    <w:p w:rsidR="00F72CDA" w:rsidRPr="00650FF3" w:rsidRDefault="00F72CDA" w:rsidP="00F72CDA">
      <w:pPr>
        <w:pStyle w:val="aa"/>
        <w:numPr>
          <w:ilvl w:val="0"/>
          <w:numId w:val="5"/>
        </w:numPr>
        <w:spacing w:line="360" w:lineRule="auto"/>
        <w:ind w:right="-426"/>
        <w:jc w:val="both"/>
        <w:rPr>
          <w:szCs w:val="24"/>
        </w:rPr>
      </w:pPr>
      <w:r w:rsidRPr="00650FF3">
        <w:rPr>
          <w:b/>
          <w:bCs/>
          <w:szCs w:val="24"/>
          <w:u w:val="single"/>
          <w:rtl/>
        </w:rPr>
        <w:t>עיקר החוק המוצע והצורך בו:</w:t>
      </w:r>
    </w:p>
    <w:p w:rsidR="00F72CDA" w:rsidRPr="00650FF3" w:rsidRDefault="00F72CDA" w:rsidP="00F72CDA">
      <w:pPr>
        <w:pStyle w:val="aa"/>
        <w:spacing w:line="360" w:lineRule="auto"/>
        <w:ind w:right="-364"/>
        <w:jc w:val="both"/>
        <w:rPr>
          <w:szCs w:val="24"/>
          <w:rtl/>
        </w:rPr>
      </w:pPr>
      <w:r w:rsidRPr="00650FF3">
        <w:rPr>
          <w:szCs w:val="24"/>
          <w:rtl/>
        </w:rPr>
        <w:t>מוצע לתקן את חוק ההגבלים העסקיים, התשמ"ח-1988 (להלן – "החוק", או "חוק ההגבלים העסקיים")</w:t>
      </w:r>
      <w:r w:rsidRPr="00650FF3">
        <w:rPr>
          <w:rFonts w:hint="cs"/>
          <w:szCs w:val="24"/>
          <w:rtl/>
        </w:rPr>
        <w:t xml:space="preserve"> בהתאם להמלצת הוועדה להגברת התחרות והסרת החסמים בתחום היבוא (להלן </w:t>
      </w:r>
      <w:r w:rsidRPr="00650FF3">
        <w:rPr>
          <w:szCs w:val="24"/>
          <w:rtl/>
        </w:rPr>
        <w:t>–</w:t>
      </w:r>
      <w:r w:rsidRPr="00650FF3">
        <w:rPr>
          <w:rFonts w:hint="cs"/>
          <w:szCs w:val="24"/>
          <w:rtl/>
        </w:rPr>
        <w:t xml:space="preserve"> "הוועדה") מיום 11.11.14, אשר אומצה בסעיף 12 להחלטת הממשלה מס' 2318 מיום 1.12.14 (קיבלה תוקף ביום 11.12.14). </w:t>
      </w:r>
    </w:p>
    <w:p w:rsidR="009D6264" w:rsidRPr="00650FF3" w:rsidRDefault="009D6264" w:rsidP="00BF543E">
      <w:pPr>
        <w:pStyle w:val="aa"/>
        <w:spacing w:line="360" w:lineRule="auto"/>
        <w:ind w:right="-364"/>
        <w:jc w:val="both"/>
        <w:rPr>
          <w:szCs w:val="24"/>
          <w:rtl/>
        </w:rPr>
      </w:pPr>
    </w:p>
    <w:p w:rsidR="00F72CDA" w:rsidRPr="00650FF3" w:rsidRDefault="00F72CDA" w:rsidP="00870BAB">
      <w:pPr>
        <w:pStyle w:val="aa"/>
        <w:spacing w:line="360" w:lineRule="auto"/>
        <w:ind w:right="-364"/>
        <w:jc w:val="both"/>
        <w:rPr>
          <w:szCs w:val="24"/>
          <w:rtl/>
        </w:rPr>
      </w:pPr>
      <w:r w:rsidRPr="00650FF3">
        <w:rPr>
          <w:rFonts w:hint="cs"/>
          <w:szCs w:val="24"/>
          <w:rtl/>
        </w:rPr>
        <w:t>ליבוא ישנה חשיבות רבה כמחולל תחרות במשק הישראלי. נפוצים שני מסלולי יבוא עיקריים: יבוא "</w:t>
      </w:r>
      <w:r w:rsidR="00BF543E" w:rsidRPr="00650FF3">
        <w:rPr>
          <w:rFonts w:hint="cs"/>
          <w:szCs w:val="24"/>
          <w:rtl/>
        </w:rPr>
        <w:t>מורשה</w:t>
      </w:r>
      <w:r w:rsidRPr="00650FF3">
        <w:rPr>
          <w:rFonts w:hint="cs"/>
          <w:szCs w:val="24"/>
          <w:rtl/>
        </w:rPr>
        <w:t xml:space="preserve">" ויבוא "מקביל". בדרך כלל, יבואן של סחורה מתקשר בחוזה עם </w:t>
      </w:r>
      <w:r w:rsidR="00870BAB" w:rsidRPr="00650FF3">
        <w:rPr>
          <w:rFonts w:hint="cs"/>
          <w:szCs w:val="24"/>
          <w:rtl/>
        </w:rPr>
        <w:t>ספק הטובין</w:t>
      </w:r>
      <w:r w:rsidRPr="00650FF3">
        <w:rPr>
          <w:rFonts w:hint="cs"/>
          <w:szCs w:val="24"/>
          <w:rtl/>
        </w:rPr>
        <w:t xml:space="preserve">, </w:t>
      </w:r>
      <w:r w:rsidR="00870BAB" w:rsidRPr="00650FF3">
        <w:rPr>
          <w:rFonts w:hint="cs"/>
          <w:szCs w:val="24"/>
          <w:rtl/>
        </w:rPr>
        <w:t xml:space="preserve">וספק הטובין </w:t>
      </w:r>
      <w:r w:rsidRPr="00650FF3">
        <w:rPr>
          <w:rFonts w:hint="cs"/>
          <w:szCs w:val="24"/>
          <w:rtl/>
        </w:rPr>
        <w:t xml:space="preserve">מעניק לו מעמד של יבואן </w:t>
      </w:r>
      <w:r w:rsidR="00BF543E" w:rsidRPr="00650FF3">
        <w:rPr>
          <w:rFonts w:hint="cs"/>
          <w:szCs w:val="24"/>
          <w:rtl/>
        </w:rPr>
        <w:t>מורשה</w:t>
      </w:r>
      <w:r w:rsidRPr="00650FF3">
        <w:rPr>
          <w:rFonts w:hint="cs"/>
          <w:szCs w:val="24"/>
          <w:rtl/>
        </w:rPr>
        <w:t xml:space="preserve"> של מוצריו. לעומת זאת, יבואן מקביל אינו קונה את הסחורה ישירות מ</w:t>
      </w:r>
      <w:r w:rsidR="00870BAB" w:rsidRPr="00650FF3">
        <w:rPr>
          <w:rFonts w:hint="cs"/>
          <w:szCs w:val="24"/>
          <w:rtl/>
        </w:rPr>
        <w:t xml:space="preserve">ספק הטובין </w:t>
      </w:r>
      <w:r w:rsidRPr="00650FF3">
        <w:rPr>
          <w:rFonts w:hint="cs"/>
          <w:szCs w:val="24"/>
          <w:rtl/>
        </w:rPr>
        <w:t xml:space="preserve">המקורי אלא בדרכים אחרות, למשל מעודפי מלאי של מפיצים של </w:t>
      </w:r>
      <w:r w:rsidR="00870BAB" w:rsidRPr="00650FF3">
        <w:rPr>
          <w:rFonts w:hint="cs"/>
          <w:szCs w:val="24"/>
          <w:rtl/>
        </w:rPr>
        <w:t xml:space="preserve">ספק הטובין </w:t>
      </w:r>
      <w:r w:rsidRPr="00650FF3">
        <w:rPr>
          <w:rFonts w:hint="cs"/>
          <w:szCs w:val="24"/>
          <w:rtl/>
        </w:rPr>
        <w:t xml:space="preserve">במדינות אחרות, או מרשתות קמעונאיות. </w:t>
      </w:r>
    </w:p>
    <w:p w:rsidR="00650FF3" w:rsidRPr="00650FF3" w:rsidRDefault="00650FF3" w:rsidP="00870BAB">
      <w:pPr>
        <w:pStyle w:val="aa"/>
        <w:spacing w:line="360" w:lineRule="auto"/>
        <w:ind w:right="-364"/>
        <w:jc w:val="both"/>
        <w:rPr>
          <w:szCs w:val="24"/>
          <w:rtl/>
        </w:rPr>
      </w:pPr>
    </w:p>
    <w:p w:rsidR="00650FF3" w:rsidRPr="00650FF3" w:rsidRDefault="00F72CDA" w:rsidP="00650FF3">
      <w:pPr>
        <w:pStyle w:val="aa"/>
        <w:spacing w:line="360" w:lineRule="auto"/>
        <w:ind w:right="-364"/>
        <w:jc w:val="both"/>
        <w:rPr>
          <w:szCs w:val="24"/>
          <w:rtl/>
        </w:rPr>
      </w:pPr>
      <w:r w:rsidRPr="00650FF3">
        <w:rPr>
          <w:rFonts w:hint="cs"/>
          <w:szCs w:val="24"/>
          <w:rtl/>
        </w:rPr>
        <w:t xml:space="preserve">התחרות מצד היבוא המקביל היא בעלת משמעות רבה, בעיקר בהיבט התחרות על המחיר. יבוא מקביל יכול להוזיל מחיר לצרכן, בנסיבות מתאימות, על ידי ניצול הזדמנויות </w:t>
      </w:r>
      <w:r w:rsidR="00870BAB" w:rsidRPr="00650FF3">
        <w:rPr>
          <w:rFonts w:hint="cs"/>
          <w:szCs w:val="24"/>
          <w:rtl/>
        </w:rPr>
        <w:t xml:space="preserve">של ארביטראז' </w:t>
      </w:r>
      <w:r w:rsidRPr="00650FF3">
        <w:rPr>
          <w:rFonts w:hint="cs"/>
          <w:szCs w:val="24"/>
          <w:rtl/>
        </w:rPr>
        <w:t>בינלאומי</w:t>
      </w:r>
      <w:r w:rsidR="00870BAB" w:rsidRPr="00650FF3">
        <w:rPr>
          <w:rFonts w:hint="cs"/>
          <w:szCs w:val="24"/>
          <w:rtl/>
        </w:rPr>
        <w:t>:</w:t>
      </w:r>
      <w:r w:rsidRPr="00650FF3">
        <w:rPr>
          <w:rFonts w:hint="cs"/>
          <w:szCs w:val="24"/>
          <w:rtl/>
        </w:rPr>
        <w:t xml:space="preserve"> היבואן המקביל קונה </w:t>
      </w:r>
      <w:r w:rsidR="00870BAB" w:rsidRPr="00650FF3">
        <w:rPr>
          <w:rFonts w:hint="cs"/>
          <w:szCs w:val="24"/>
          <w:rtl/>
        </w:rPr>
        <w:t xml:space="preserve">טובין </w:t>
      </w:r>
      <w:r w:rsidRPr="00650FF3">
        <w:rPr>
          <w:rFonts w:hint="cs"/>
          <w:szCs w:val="24"/>
          <w:rtl/>
        </w:rPr>
        <w:t xml:space="preserve">בשווקים שבהם המחיר שגובה </w:t>
      </w:r>
      <w:r w:rsidR="00870BAB" w:rsidRPr="00650FF3">
        <w:rPr>
          <w:rFonts w:hint="cs"/>
          <w:szCs w:val="24"/>
          <w:rtl/>
        </w:rPr>
        <w:t xml:space="preserve">הספק </w:t>
      </w:r>
      <w:r w:rsidRPr="00650FF3">
        <w:rPr>
          <w:rFonts w:hint="cs"/>
          <w:szCs w:val="24"/>
          <w:rtl/>
        </w:rPr>
        <w:t xml:space="preserve">הבינלאומי נמוך מזה שהוא גובה עבור </w:t>
      </w:r>
      <w:r w:rsidR="00870BAB" w:rsidRPr="00650FF3">
        <w:rPr>
          <w:rFonts w:hint="cs"/>
          <w:szCs w:val="24"/>
          <w:rtl/>
        </w:rPr>
        <w:t xml:space="preserve">טובין </w:t>
      </w:r>
      <w:r w:rsidRPr="00650FF3">
        <w:rPr>
          <w:rFonts w:hint="cs"/>
          <w:szCs w:val="24"/>
          <w:rtl/>
        </w:rPr>
        <w:t>המיועד</w:t>
      </w:r>
      <w:r w:rsidR="00870BAB" w:rsidRPr="00650FF3">
        <w:rPr>
          <w:rFonts w:hint="cs"/>
          <w:szCs w:val="24"/>
          <w:rtl/>
        </w:rPr>
        <w:t>ים</w:t>
      </w:r>
      <w:r w:rsidRPr="00650FF3">
        <w:rPr>
          <w:rFonts w:hint="cs"/>
          <w:szCs w:val="24"/>
          <w:rtl/>
        </w:rPr>
        <w:t xml:space="preserve"> לשוק הישראלי, או עודפים מסיטונאי גדול בעל כוח קניה משמעותי. רכישת המוצר במחיר המוזל עשויה להתגלגל, בתורה, לצרכן הישראלי. התחרות מיבוא מקביל אף עשויה להיות מקור התחרות העיקרי על ליבו של הצרכן מקום שבו מסיבות שונות לא מתקיימת תחרות בין-מותגית עזה ויבואן </w:t>
      </w:r>
      <w:r w:rsidR="00BF543E" w:rsidRPr="00650FF3">
        <w:rPr>
          <w:rFonts w:hint="cs"/>
          <w:szCs w:val="24"/>
          <w:rtl/>
        </w:rPr>
        <w:t>מורשה</w:t>
      </w:r>
      <w:r w:rsidRPr="00650FF3">
        <w:rPr>
          <w:rFonts w:hint="cs"/>
          <w:szCs w:val="24"/>
          <w:rtl/>
        </w:rPr>
        <w:t xml:space="preserve"> מחזיק בכוח שוק ביחס למותגים שהוא מייבא. </w:t>
      </w:r>
    </w:p>
    <w:p w:rsidR="00650FF3" w:rsidRPr="00650FF3" w:rsidRDefault="00650FF3" w:rsidP="00650FF3">
      <w:pPr>
        <w:pStyle w:val="aa"/>
        <w:spacing w:line="360" w:lineRule="auto"/>
        <w:ind w:right="-364"/>
        <w:jc w:val="both"/>
        <w:rPr>
          <w:szCs w:val="24"/>
          <w:rtl/>
        </w:rPr>
      </w:pPr>
    </w:p>
    <w:p w:rsidR="00650FF3" w:rsidRDefault="00870BAB" w:rsidP="00650FF3">
      <w:pPr>
        <w:pStyle w:val="aa"/>
        <w:spacing w:line="360" w:lineRule="auto"/>
        <w:ind w:right="-364"/>
        <w:jc w:val="both"/>
        <w:rPr>
          <w:szCs w:val="24"/>
          <w:rtl/>
        </w:rPr>
      </w:pPr>
      <w:r w:rsidRPr="00650FF3">
        <w:rPr>
          <w:rFonts w:hint="cs"/>
          <w:szCs w:val="24"/>
          <w:rtl/>
        </w:rPr>
        <w:t>הדין הישראלי הכיר בחשיבותו של היבוא המקביל כמחולל תחרות ובחוקיות של יבוא מקביל</w:t>
      </w:r>
      <w:r w:rsidR="00A91A91" w:rsidRPr="00650FF3">
        <w:rPr>
          <w:rFonts w:hint="cs"/>
          <w:szCs w:val="24"/>
          <w:rtl/>
        </w:rPr>
        <w:t>.</w:t>
      </w:r>
      <w:r w:rsidRPr="00650FF3">
        <w:rPr>
          <w:rFonts w:hint="cs"/>
          <w:szCs w:val="24"/>
          <w:rtl/>
        </w:rPr>
        <w:t xml:space="preserve"> </w:t>
      </w:r>
      <w:r w:rsidR="00A91A91" w:rsidRPr="00650FF3">
        <w:rPr>
          <w:rFonts w:hint="cs"/>
          <w:szCs w:val="24"/>
          <w:rtl/>
        </w:rPr>
        <w:t xml:space="preserve">ראו, למשל, </w:t>
      </w:r>
      <w:r w:rsidR="00E42DCB" w:rsidRPr="00650FF3">
        <w:rPr>
          <w:rFonts w:hint="cs"/>
          <w:szCs w:val="24"/>
          <w:rtl/>
        </w:rPr>
        <w:t xml:space="preserve">ע"א 7629/12 </w:t>
      </w:r>
      <w:r w:rsidR="00E42DCB" w:rsidRPr="00650FF3">
        <w:rPr>
          <w:rFonts w:hint="cs"/>
          <w:b/>
          <w:bCs/>
          <w:szCs w:val="24"/>
          <w:rtl/>
        </w:rPr>
        <w:t>אלעד מנחם סויסה נ'</w:t>
      </w:r>
      <w:r w:rsidR="00E42DCB" w:rsidRPr="00650FF3">
        <w:rPr>
          <w:b/>
          <w:bCs/>
          <w:szCs w:val="24"/>
        </w:rPr>
        <w:t>TOMMY HILFIGER LICENSING LLC</w:t>
      </w:r>
      <w:r w:rsidRPr="00650FF3">
        <w:rPr>
          <w:rFonts w:hint="cs"/>
          <w:szCs w:val="24"/>
          <w:rtl/>
        </w:rPr>
        <w:t>)</w:t>
      </w:r>
      <w:r w:rsidR="00650FF3" w:rsidRPr="00650FF3">
        <w:rPr>
          <w:rFonts w:hint="cs"/>
          <w:szCs w:val="24"/>
          <w:rtl/>
        </w:rPr>
        <w:t xml:space="preserve"> (</w:t>
      </w:r>
      <w:r w:rsidR="00650FF3" w:rsidRPr="00650FF3">
        <w:rPr>
          <w:szCs w:val="24"/>
          <w:rtl/>
        </w:rPr>
        <w:t>פורסם בנ</w:t>
      </w:r>
      <w:r w:rsidR="00650FF3" w:rsidRPr="00650FF3">
        <w:rPr>
          <w:rFonts w:hint="cs"/>
          <w:szCs w:val="24"/>
          <w:rtl/>
        </w:rPr>
        <w:t>בו (16.11.2014)</w:t>
      </w:r>
      <w:r w:rsidR="00A91A91" w:rsidRPr="00650FF3">
        <w:rPr>
          <w:rFonts w:hint="cs"/>
          <w:szCs w:val="24"/>
          <w:rtl/>
        </w:rPr>
        <w:t>, בו הסביר בית המשפט העליון כי</w:t>
      </w:r>
      <w:r w:rsidR="00650FF3">
        <w:rPr>
          <w:rFonts w:hint="cs"/>
          <w:szCs w:val="24"/>
          <w:rtl/>
        </w:rPr>
        <w:t xml:space="preserve"> </w:t>
      </w:r>
      <w:r w:rsidR="00650FF3">
        <w:rPr>
          <w:szCs w:val="24"/>
          <w:rtl/>
        </w:rPr>
        <w:t>–</w:t>
      </w:r>
    </w:p>
    <w:p w:rsidR="00870BAB" w:rsidRPr="00650FF3" w:rsidRDefault="00A91A91" w:rsidP="00650FF3">
      <w:pPr>
        <w:pStyle w:val="aa"/>
        <w:spacing w:line="360" w:lineRule="auto"/>
        <w:ind w:left="1785" w:right="709"/>
        <w:jc w:val="both"/>
        <w:rPr>
          <w:szCs w:val="24"/>
          <w:rtl/>
        </w:rPr>
      </w:pPr>
      <w:r w:rsidRPr="00650FF3">
        <w:rPr>
          <w:rFonts w:hint="cs"/>
          <w:szCs w:val="24"/>
          <w:rtl/>
        </w:rPr>
        <w:t>"</w:t>
      </w:r>
      <w:r w:rsidRPr="00650FF3">
        <w:rPr>
          <w:szCs w:val="24"/>
          <w:rtl/>
        </w:rPr>
        <w:t>בישראל</w:t>
      </w:r>
      <w:r w:rsidRPr="00650FF3">
        <w:rPr>
          <w:rFonts w:hint="cs"/>
          <w:szCs w:val="24"/>
          <w:rtl/>
        </w:rPr>
        <w:t xml:space="preserve"> ...</w:t>
      </w:r>
      <w:r w:rsidRPr="00650FF3">
        <w:rPr>
          <w:szCs w:val="24"/>
          <w:rtl/>
        </w:rPr>
        <w:t xml:space="preserve"> נקודת המוצא לדיון ביבוא מקביל היא שפעולה במתכונת זו היא מותרת, במישור העקרוני. למעשה, בחירה זו נראית חיונית במיוחד בהקשר הישראלי לנוכח הנתונים המאפיינים את המשק הישראלי – שבו התנאים התחרותיים הם מוגבלים </w:t>
      </w:r>
      <w:r w:rsidRPr="00650FF3">
        <w:rPr>
          <w:rFonts w:hint="cs"/>
          <w:szCs w:val="24"/>
          <w:rtl/>
        </w:rPr>
        <w:t>(</w:t>
      </w:r>
      <w:r w:rsidRPr="00650FF3">
        <w:rPr>
          <w:szCs w:val="24"/>
          <w:rtl/>
        </w:rPr>
        <w:t>ואף מעוררים חשש לריכוזיות-יתר הפוגעת בתחרות</w:t>
      </w:r>
      <w:r w:rsidRPr="00650FF3">
        <w:rPr>
          <w:szCs w:val="24"/>
        </w:rPr>
        <w:t xml:space="preserve"> </w:t>
      </w:r>
      <w:r w:rsidRPr="00650FF3">
        <w:rPr>
          <w:szCs w:val="24"/>
          <w:rtl/>
        </w:rPr>
        <w:t xml:space="preserve">בהתחשב, בין השאר, בגודלו הקטן יחסית, בתלות הכמעט מוחלטת ביבוא </w:t>
      </w:r>
      <w:r w:rsidRPr="00650FF3">
        <w:rPr>
          <w:szCs w:val="24"/>
          <w:rtl/>
        </w:rPr>
        <w:lastRenderedPageBreak/>
        <w:t>במגזרים תעשייתיים רבים, ובהיותו מבודד מבחינה כלכלית מסביבתו הקרובה.</w:t>
      </w:r>
      <w:r w:rsidR="00650FF3" w:rsidRPr="00650FF3">
        <w:rPr>
          <w:rFonts w:hint="cs"/>
          <w:szCs w:val="24"/>
          <w:rtl/>
        </w:rPr>
        <w:t>"</w:t>
      </w:r>
      <w:r w:rsidRPr="00650FF3">
        <w:rPr>
          <w:szCs w:val="24"/>
          <w:rtl/>
        </w:rPr>
        <w:t xml:space="preserve"> </w:t>
      </w:r>
    </w:p>
    <w:p w:rsidR="00650FF3" w:rsidRPr="00650FF3" w:rsidRDefault="00650FF3" w:rsidP="00650FF3">
      <w:pPr>
        <w:pStyle w:val="aa"/>
        <w:spacing w:line="360" w:lineRule="auto"/>
        <w:ind w:right="-364"/>
        <w:jc w:val="both"/>
        <w:rPr>
          <w:szCs w:val="24"/>
          <w:rtl/>
        </w:rPr>
      </w:pPr>
    </w:p>
    <w:p w:rsidR="001C5D47" w:rsidRPr="00650FF3" w:rsidRDefault="00F72CDA" w:rsidP="009D6264">
      <w:pPr>
        <w:pStyle w:val="aa"/>
        <w:spacing w:line="360" w:lineRule="auto"/>
        <w:ind w:right="-364"/>
        <w:jc w:val="both"/>
        <w:rPr>
          <w:szCs w:val="24"/>
          <w:rtl/>
        </w:rPr>
      </w:pPr>
      <w:r w:rsidRPr="00650FF3">
        <w:rPr>
          <w:rFonts w:hint="cs"/>
          <w:szCs w:val="24"/>
          <w:rtl/>
        </w:rPr>
        <w:t>תכליתו של תיקון החוק היא למנוע פגיעה בתחרות בדרך של סיכול או צמצום התחרות מיבוא מקביל על ידי היבואן ה</w:t>
      </w:r>
      <w:r w:rsidR="00BF543E" w:rsidRPr="00650FF3">
        <w:rPr>
          <w:rFonts w:hint="cs"/>
          <w:szCs w:val="24"/>
          <w:rtl/>
        </w:rPr>
        <w:t>מורשה</w:t>
      </w:r>
      <w:r w:rsidRPr="00650FF3">
        <w:rPr>
          <w:rFonts w:hint="cs"/>
          <w:szCs w:val="24"/>
          <w:rtl/>
        </w:rPr>
        <w:t xml:space="preserve"> של טובין. כך, למשל, הוועדה מצאה כי יבואנים רשמיים עלולים לנקוט בפרקטיקות שתכליתן למנוע גישה של יבואנים מקבילים לערוצי ההפצה הקמעונאיים, תוך ניצול לרעה של כוח השוק המצוי בידיהם.</w:t>
      </w:r>
    </w:p>
    <w:p w:rsidR="009D6264" w:rsidRPr="00650FF3" w:rsidRDefault="009D6264" w:rsidP="009D6264">
      <w:pPr>
        <w:pStyle w:val="aa"/>
        <w:spacing w:line="360" w:lineRule="auto"/>
        <w:ind w:right="-364"/>
        <w:jc w:val="both"/>
        <w:rPr>
          <w:szCs w:val="24"/>
          <w:rtl/>
        </w:rPr>
      </w:pPr>
    </w:p>
    <w:p w:rsidR="00650FF3" w:rsidRPr="00650FF3" w:rsidRDefault="009D6264" w:rsidP="00650FF3">
      <w:pPr>
        <w:pStyle w:val="aa"/>
        <w:spacing w:line="360" w:lineRule="auto"/>
        <w:ind w:right="-364"/>
        <w:jc w:val="both"/>
        <w:rPr>
          <w:szCs w:val="24"/>
          <w:rtl/>
        </w:rPr>
      </w:pPr>
      <w:r w:rsidRPr="00650FF3">
        <w:rPr>
          <w:rFonts w:hint="cs"/>
          <w:szCs w:val="24"/>
          <w:rtl/>
        </w:rPr>
        <w:t xml:space="preserve">הגדרת היבואן המורשה אשר אליו מכוונת הצעת החוק כוללת הן את מי שמביא לישראל או מפיץ בישראל מוצרים המיוצרים בחו"ל על פי הרשאה של היצרן הזר, והן את מי שמייצר בישראל ומפיץ בישראל מוצרים של מותג בינלאומי. בשני המקרים עשויה להתבצע פעילות דחיקת תחרות מיבוא בלתי מורשה, פעילות אשר עלולה לפגוע משמעותית בתחרות ובצרכן. </w:t>
      </w:r>
    </w:p>
    <w:p w:rsidR="00650FF3" w:rsidRPr="00650FF3" w:rsidRDefault="00650FF3" w:rsidP="00650FF3">
      <w:pPr>
        <w:pStyle w:val="aa"/>
        <w:spacing w:line="360" w:lineRule="auto"/>
        <w:ind w:right="-364"/>
        <w:jc w:val="both"/>
        <w:rPr>
          <w:szCs w:val="24"/>
          <w:rtl/>
        </w:rPr>
      </w:pPr>
    </w:p>
    <w:p w:rsidR="00F72CDA" w:rsidRDefault="00F72CDA" w:rsidP="00112541">
      <w:pPr>
        <w:pStyle w:val="aa"/>
        <w:spacing w:line="360" w:lineRule="auto"/>
        <w:ind w:right="-364"/>
        <w:jc w:val="both"/>
        <w:rPr>
          <w:szCs w:val="24"/>
          <w:rtl/>
        </w:rPr>
      </w:pPr>
      <w:r w:rsidRPr="00650FF3">
        <w:rPr>
          <w:rFonts w:hint="cs"/>
          <w:szCs w:val="24"/>
          <w:rtl/>
        </w:rPr>
        <w:t xml:space="preserve">יבואן </w:t>
      </w:r>
      <w:r w:rsidR="00BF543E" w:rsidRPr="00650FF3">
        <w:rPr>
          <w:rFonts w:hint="cs"/>
          <w:szCs w:val="24"/>
          <w:rtl/>
        </w:rPr>
        <w:t>מורשה</w:t>
      </w:r>
      <w:r w:rsidRPr="00650FF3">
        <w:rPr>
          <w:rFonts w:hint="cs"/>
          <w:szCs w:val="24"/>
          <w:rtl/>
        </w:rPr>
        <w:t xml:space="preserve"> עשוי להחזיק בכוח שוק ביחס למותגים שהוא מייבא גם אם הוא אינו בעל מונופולין בשוק המוצר הרחב יותר, ונתח השוק שלו נמוך מ-50%. בהתאם, מוצע</w:t>
      </w:r>
      <w:r w:rsidR="001C5D47" w:rsidRPr="00650FF3">
        <w:rPr>
          <w:rFonts w:hint="cs"/>
          <w:szCs w:val="24"/>
          <w:rtl/>
        </w:rPr>
        <w:t xml:space="preserve"> תיקון חקיקה המסמיך את הממונה על הגבלים עסקיים לתת הוראות</w:t>
      </w:r>
      <w:r w:rsidR="00A91A91" w:rsidRPr="00650FF3">
        <w:rPr>
          <w:rFonts w:hint="cs"/>
          <w:szCs w:val="24"/>
          <w:rtl/>
        </w:rPr>
        <w:t xml:space="preserve"> בדבר צעדים שעליו לנקוט על מנת למנוע את </w:t>
      </w:r>
      <w:r w:rsidR="00A91A91" w:rsidRPr="002C0DFF">
        <w:rPr>
          <w:rFonts w:hint="eastAsia"/>
          <w:szCs w:val="24"/>
          <w:rtl/>
        </w:rPr>
        <w:t>החשש</w:t>
      </w:r>
      <w:r w:rsidR="00A91A91" w:rsidRPr="00650FF3">
        <w:rPr>
          <w:rFonts w:hint="cs"/>
          <w:szCs w:val="24"/>
          <w:rtl/>
        </w:rPr>
        <w:t xml:space="preserve"> לפגיעה משמעותית בתחרות מיבוא מקביל. </w:t>
      </w:r>
      <w:r w:rsidR="001C5D47" w:rsidRPr="00650FF3">
        <w:rPr>
          <w:rFonts w:hint="cs"/>
          <w:szCs w:val="24"/>
          <w:rtl/>
        </w:rPr>
        <w:t xml:space="preserve">על פי סמכות זו, הממונה יורה על צעדים קונקרטיים שיש לנקוט כדי למנוע את הפגיעה. </w:t>
      </w:r>
      <w:r w:rsidR="00112541">
        <w:rPr>
          <w:rFonts w:hint="cs"/>
          <w:szCs w:val="24"/>
          <w:rtl/>
        </w:rPr>
        <w:t>בדומה לסמכות הממונה לתת הוראות לבעל מונופולין</w:t>
      </w:r>
      <w:r w:rsidR="009735B9">
        <w:rPr>
          <w:rFonts w:hint="cs"/>
          <w:szCs w:val="24"/>
          <w:rtl/>
        </w:rPr>
        <w:t xml:space="preserve"> או לחברי קבוצת ריכוז</w:t>
      </w:r>
      <w:r w:rsidR="00112541">
        <w:rPr>
          <w:rFonts w:hint="cs"/>
          <w:szCs w:val="24"/>
          <w:rtl/>
        </w:rPr>
        <w:t xml:space="preserve">, </w:t>
      </w:r>
      <w:r w:rsidR="001C5D47" w:rsidRPr="00650FF3">
        <w:rPr>
          <w:rFonts w:hint="cs"/>
          <w:szCs w:val="24"/>
          <w:rtl/>
        </w:rPr>
        <w:t xml:space="preserve">הפרה של הוראות הממונה כמוה כהפרה של חוק ההגבלים העסקיים, </w:t>
      </w:r>
      <w:r w:rsidR="006C1707" w:rsidRPr="00650FF3">
        <w:rPr>
          <w:rFonts w:hint="cs"/>
          <w:szCs w:val="24"/>
          <w:rtl/>
        </w:rPr>
        <w:t xml:space="preserve">ועשויות להיות </w:t>
      </w:r>
      <w:r w:rsidR="001C5D47" w:rsidRPr="00650FF3">
        <w:rPr>
          <w:rFonts w:hint="cs"/>
          <w:szCs w:val="24"/>
          <w:rtl/>
        </w:rPr>
        <w:t xml:space="preserve">לה השלכות פליליות, מנהליות ונזיקיות. יתרונו המרכזי של התיקון המוצע הוא </w:t>
      </w:r>
      <w:r w:rsidR="00386745">
        <w:rPr>
          <w:rFonts w:hint="cs"/>
          <w:szCs w:val="24"/>
          <w:rtl/>
        </w:rPr>
        <w:t>ש</w:t>
      </w:r>
      <w:r w:rsidR="001C5D47" w:rsidRPr="00650FF3">
        <w:rPr>
          <w:rFonts w:hint="cs"/>
          <w:szCs w:val="24"/>
          <w:rtl/>
        </w:rPr>
        <w:t>בכך יתאפשר לממונה לפעול נקודתית כנגד מי שפוגע בתחרות מחד גיסא, אך מאידך גיסא לא יוטל בחוק איסור התנהגות גורף החל על כלל היבואנים ה</w:t>
      </w:r>
      <w:r w:rsidR="00BF543E" w:rsidRPr="00650FF3">
        <w:rPr>
          <w:rFonts w:hint="cs"/>
          <w:szCs w:val="24"/>
          <w:rtl/>
        </w:rPr>
        <w:t>מורשי</w:t>
      </w:r>
      <w:r w:rsidR="001C5D47" w:rsidRPr="00650FF3">
        <w:rPr>
          <w:rFonts w:hint="cs"/>
          <w:szCs w:val="24"/>
          <w:rtl/>
        </w:rPr>
        <w:t xml:space="preserve">ם, ואשר עלול למנוע שימוש בפרקטיקות עסקיות לגיטימיות ופרו-תחרותיות. </w:t>
      </w:r>
    </w:p>
    <w:p w:rsidR="000B35D6" w:rsidRDefault="000B35D6" w:rsidP="00112541">
      <w:pPr>
        <w:pStyle w:val="aa"/>
        <w:spacing w:line="360" w:lineRule="auto"/>
        <w:ind w:right="-364"/>
        <w:jc w:val="both"/>
        <w:rPr>
          <w:szCs w:val="24"/>
          <w:rtl/>
        </w:rPr>
      </w:pPr>
    </w:p>
    <w:p w:rsidR="000B35D6" w:rsidRPr="00650FF3" w:rsidRDefault="000B35D6" w:rsidP="005255D0">
      <w:pPr>
        <w:pStyle w:val="aa"/>
        <w:spacing w:line="360" w:lineRule="auto"/>
        <w:ind w:right="-364"/>
        <w:jc w:val="both"/>
        <w:rPr>
          <w:szCs w:val="24"/>
          <w:rtl/>
        </w:rPr>
      </w:pPr>
      <w:r>
        <w:rPr>
          <w:rFonts w:hint="cs"/>
          <w:szCs w:val="24"/>
          <w:rtl/>
        </w:rPr>
        <w:t>מוצע כי סמכות הממונה לתת הוראות ליבואן מורשה כאמור בתזכיר זה תיקבע במסגרת הוראת שעה מוגבלת בזמן, של שלוש שנים</w:t>
      </w:r>
      <w:r w:rsidR="005255D0">
        <w:rPr>
          <w:rFonts w:hint="cs"/>
          <w:szCs w:val="24"/>
          <w:rtl/>
        </w:rPr>
        <w:t xml:space="preserve"> אשר ניתן יהיה להאריך בשלוש שנים נוספות</w:t>
      </w:r>
      <w:r>
        <w:rPr>
          <w:rFonts w:hint="cs"/>
          <w:szCs w:val="24"/>
          <w:rtl/>
        </w:rPr>
        <w:t xml:space="preserve">, על מנת שניתן יהיה להעריך </w:t>
      </w:r>
      <w:r w:rsidR="005255D0">
        <w:rPr>
          <w:rFonts w:hint="cs"/>
          <w:szCs w:val="24"/>
          <w:rtl/>
        </w:rPr>
        <w:t>במהלך תקופה זו</w:t>
      </w:r>
      <w:r>
        <w:rPr>
          <w:rFonts w:hint="cs"/>
          <w:szCs w:val="24"/>
          <w:rtl/>
        </w:rPr>
        <w:t xml:space="preserve"> אם עדיין עומד הצורך בסמכות כאמור</w:t>
      </w:r>
      <w:r w:rsidR="00434420">
        <w:rPr>
          <w:rFonts w:hint="cs"/>
          <w:szCs w:val="24"/>
          <w:rtl/>
        </w:rPr>
        <w:t>,</w:t>
      </w:r>
      <w:r w:rsidR="00D0205B">
        <w:rPr>
          <w:rFonts w:hint="cs"/>
          <w:szCs w:val="24"/>
          <w:rtl/>
        </w:rPr>
        <w:t xml:space="preserve"> ולבחון את</w:t>
      </w:r>
      <w:r>
        <w:rPr>
          <w:rFonts w:hint="cs"/>
          <w:szCs w:val="24"/>
          <w:rtl/>
        </w:rPr>
        <w:t xml:space="preserve"> השלכותיה ותועלתה. </w:t>
      </w:r>
    </w:p>
    <w:p w:rsidR="00F72CDA" w:rsidRPr="00650FF3" w:rsidRDefault="00F72CDA" w:rsidP="0016514E">
      <w:pPr>
        <w:ind w:right="-426" w:firstLine="0"/>
        <w:rPr>
          <w:b/>
          <w:bCs/>
          <w:sz w:val="24"/>
          <w:szCs w:val="24"/>
          <w:u w:val="single"/>
        </w:rPr>
      </w:pPr>
    </w:p>
    <w:p w:rsidR="00F72CDA" w:rsidRPr="00650FF3" w:rsidRDefault="00F72CDA" w:rsidP="00F72CDA">
      <w:pPr>
        <w:pStyle w:val="aa"/>
        <w:numPr>
          <w:ilvl w:val="0"/>
          <w:numId w:val="5"/>
        </w:numPr>
        <w:spacing w:line="360" w:lineRule="auto"/>
        <w:ind w:right="-426"/>
        <w:jc w:val="both"/>
        <w:rPr>
          <w:b/>
          <w:bCs/>
          <w:szCs w:val="24"/>
          <w:u w:val="single"/>
        </w:rPr>
      </w:pPr>
      <w:r w:rsidRPr="00650FF3">
        <w:rPr>
          <w:b/>
          <w:bCs/>
          <w:szCs w:val="24"/>
          <w:u w:val="single"/>
          <w:rtl/>
        </w:rPr>
        <w:t>השפעת החוק המוצע על החוק הקיים:</w:t>
      </w:r>
    </w:p>
    <w:p w:rsidR="00F72CDA" w:rsidRPr="00650FF3" w:rsidRDefault="00F72CDA" w:rsidP="00F72CDA">
      <w:pPr>
        <w:ind w:left="720" w:right="-426" w:firstLine="0"/>
        <w:rPr>
          <w:rFonts w:cs="David"/>
          <w:sz w:val="24"/>
          <w:szCs w:val="24"/>
          <w:rtl/>
        </w:rPr>
      </w:pPr>
      <w:r w:rsidRPr="00650FF3">
        <w:rPr>
          <w:rFonts w:cs="David" w:hint="cs"/>
          <w:sz w:val="24"/>
          <w:szCs w:val="24"/>
          <w:rtl/>
        </w:rPr>
        <w:t>יתוקן</w:t>
      </w:r>
      <w:r w:rsidRPr="00650FF3">
        <w:rPr>
          <w:rFonts w:cs="David"/>
          <w:sz w:val="24"/>
          <w:szCs w:val="24"/>
          <w:rtl/>
        </w:rPr>
        <w:t xml:space="preserve"> </w:t>
      </w:r>
      <w:r w:rsidRPr="00650FF3">
        <w:rPr>
          <w:rFonts w:cs="David" w:hint="cs"/>
          <w:sz w:val="24"/>
          <w:szCs w:val="24"/>
          <w:rtl/>
        </w:rPr>
        <w:t>חוק</w:t>
      </w:r>
      <w:r w:rsidRPr="00650FF3">
        <w:rPr>
          <w:rFonts w:cs="David"/>
          <w:sz w:val="24"/>
          <w:szCs w:val="24"/>
          <w:rtl/>
        </w:rPr>
        <w:t xml:space="preserve"> </w:t>
      </w:r>
      <w:r w:rsidRPr="00650FF3">
        <w:rPr>
          <w:rFonts w:cs="David" w:hint="cs"/>
          <w:sz w:val="24"/>
          <w:szCs w:val="24"/>
          <w:rtl/>
        </w:rPr>
        <w:t>ההגבלים</w:t>
      </w:r>
      <w:r w:rsidRPr="00650FF3">
        <w:rPr>
          <w:rFonts w:cs="David"/>
          <w:sz w:val="24"/>
          <w:szCs w:val="24"/>
          <w:rtl/>
        </w:rPr>
        <w:t xml:space="preserve"> </w:t>
      </w:r>
      <w:r w:rsidRPr="00650FF3">
        <w:rPr>
          <w:rFonts w:cs="David" w:hint="cs"/>
          <w:sz w:val="24"/>
          <w:szCs w:val="24"/>
          <w:rtl/>
        </w:rPr>
        <w:t>העסקיים</w:t>
      </w:r>
      <w:r w:rsidRPr="00650FF3">
        <w:rPr>
          <w:rFonts w:cs="David"/>
          <w:sz w:val="24"/>
          <w:szCs w:val="24"/>
          <w:rtl/>
        </w:rPr>
        <w:t xml:space="preserve">, </w:t>
      </w:r>
      <w:r w:rsidRPr="00650FF3">
        <w:rPr>
          <w:rFonts w:cs="David" w:hint="cs"/>
          <w:sz w:val="24"/>
          <w:szCs w:val="24"/>
          <w:rtl/>
        </w:rPr>
        <w:t>התשמ</w:t>
      </w:r>
      <w:r w:rsidRPr="00650FF3">
        <w:rPr>
          <w:rFonts w:cs="David"/>
          <w:sz w:val="24"/>
          <w:szCs w:val="24"/>
          <w:rtl/>
        </w:rPr>
        <w:t>"</w:t>
      </w:r>
      <w:r w:rsidRPr="00650FF3">
        <w:rPr>
          <w:rFonts w:cs="David" w:hint="cs"/>
          <w:sz w:val="24"/>
          <w:szCs w:val="24"/>
          <w:rtl/>
        </w:rPr>
        <w:t>ח</w:t>
      </w:r>
      <w:r w:rsidRPr="00650FF3">
        <w:rPr>
          <w:rFonts w:cs="David"/>
          <w:sz w:val="24"/>
          <w:szCs w:val="24"/>
          <w:rtl/>
        </w:rPr>
        <w:t>-1988</w:t>
      </w:r>
      <w:r w:rsidRPr="00650FF3">
        <w:rPr>
          <w:rFonts w:cs="David" w:hint="cs"/>
          <w:sz w:val="24"/>
          <w:szCs w:val="24"/>
          <w:rtl/>
        </w:rPr>
        <w:t xml:space="preserve"> כאמור בתזכיר זה</w:t>
      </w:r>
      <w:r w:rsidRPr="00650FF3">
        <w:rPr>
          <w:rFonts w:cs="David"/>
          <w:sz w:val="24"/>
          <w:szCs w:val="24"/>
          <w:rtl/>
        </w:rPr>
        <w:t>.</w:t>
      </w:r>
    </w:p>
    <w:p w:rsidR="00F72CDA" w:rsidRPr="00650FF3" w:rsidRDefault="00F72CDA" w:rsidP="00F72CDA">
      <w:pPr>
        <w:ind w:left="720" w:right="-426" w:firstLine="0"/>
        <w:rPr>
          <w:rFonts w:cs="David"/>
          <w:sz w:val="24"/>
          <w:szCs w:val="24"/>
          <w:rtl/>
        </w:rPr>
      </w:pPr>
    </w:p>
    <w:p w:rsidR="00F72CDA" w:rsidRPr="00650FF3" w:rsidRDefault="00F72CDA" w:rsidP="00F72CDA">
      <w:pPr>
        <w:pStyle w:val="aa"/>
        <w:numPr>
          <w:ilvl w:val="0"/>
          <w:numId w:val="5"/>
        </w:numPr>
        <w:spacing w:line="360" w:lineRule="auto"/>
        <w:ind w:right="-426"/>
        <w:jc w:val="both"/>
        <w:rPr>
          <w:szCs w:val="24"/>
        </w:rPr>
      </w:pPr>
      <w:r w:rsidRPr="00650FF3">
        <w:rPr>
          <w:b/>
          <w:bCs/>
          <w:szCs w:val="24"/>
          <w:u w:val="single"/>
          <w:rtl/>
        </w:rPr>
        <w:t>השפעת החוק המוצע על תקציב המדינה, תקנים במשרדי הממשלה וההיבט המינהלי:</w:t>
      </w:r>
    </w:p>
    <w:p w:rsidR="00F72CDA" w:rsidRPr="00650FF3" w:rsidRDefault="001C5D47" w:rsidP="00F72CDA">
      <w:pPr>
        <w:ind w:left="651" w:right="-426" w:firstLine="0"/>
        <w:rPr>
          <w:rFonts w:cs="David"/>
          <w:sz w:val="24"/>
          <w:szCs w:val="24"/>
          <w:rtl/>
        </w:rPr>
      </w:pPr>
      <w:r w:rsidRPr="00650FF3">
        <w:rPr>
          <w:rFonts w:cs="David" w:hint="cs"/>
          <w:sz w:val="24"/>
          <w:szCs w:val="24"/>
          <w:rtl/>
        </w:rPr>
        <w:t xml:space="preserve"> </w:t>
      </w:r>
      <w:r w:rsidR="00F72CDA" w:rsidRPr="00650FF3">
        <w:rPr>
          <w:rFonts w:cs="David" w:hint="cs"/>
          <w:sz w:val="24"/>
          <w:szCs w:val="24"/>
          <w:rtl/>
        </w:rPr>
        <w:t>אין</w:t>
      </w:r>
      <w:r w:rsidR="00F72CDA" w:rsidRPr="00650FF3">
        <w:rPr>
          <w:rFonts w:cs="David"/>
          <w:sz w:val="24"/>
          <w:szCs w:val="24"/>
          <w:rtl/>
        </w:rPr>
        <w:t>.</w:t>
      </w:r>
    </w:p>
    <w:p w:rsidR="001C5D47" w:rsidRPr="00650FF3" w:rsidRDefault="001C5D47" w:rsidP="00F72CDA">
      <w:pPr>
        <w:ind w:left="651" w:right="-426" w:firstLine="0"/>
        <w:rPr>
          <w:rFonts w:cs="David"/>
          <w:sz w:val="24"/>
          <w:szCs w:val="24"/>
          <w:rtl/>
        </w:rPr>
      </w:pPr>
    </w:p>
    <w:p w:rsidR="001C5D47" w:rsidRPr="00650FF3" w:rsidRDefault="001C5D47" w:rsidP="001C5D47">
      <w:pPr>
        <w:pStyle w:val="aa"/>
        <w:numPr>
          <w:ilvl w:val="0"/>
          <w:numId w:val="5"/>
        </w:numPr>
        <w:ind w:right="-426"/>
        <w:rPr>
          <w:rFonts w:ascii="Hadasa Roso SL" w:eastAsia="MS Mincho" w:hAnsi="Hadasa Roso SL"/>
          <w:color w:val="000000"/>
          <w:szCs w:val="24"/>
          <w:lang w:eastAsia="ja-JP"/>
        </w:rPr>
      </w:pPr>
      <w:r w:rsidRPr="00650FF3">
        <w:rPr>
          <w:rFonts w:hint="cs"/>
          <w:b/>
          <w:bCs/>
          <w:szCs w:val="24"/>
          <w:u w:val="single"/>
          <w:rtl/>
        </w:rPr>
        <w:t>הערכת השפעות רגולציה (</w:t>
      </w:r>
      <w:r w:rsidRPr="00650FF3">
        <w:rPr>
          <w:b/>
          <w:bCs/>
          <w:szCs w:val="24"/>
          <w:u w:val="single"/>
        </w:rPr>
        <w:t>RIA</w:t>
      </w:r>
      <w:r w:rsidRPr="00650FF3">
        <w:rPr>
          <w:rFonts w:hint="cs"/>
          <w:b/>
          <w:bCs/>
          <w:szCs w:val="24"/>
          <w:u w:val="single"/>
          <w:rtl/>
        </w:rPr>
        <w:t>)</w:t>
      </w:r>
    </w:p>
    <w:p w:rsidR="001C5D47" w:rsidRPr="00444C13" w:rsidRDefault="001C5D47" w:rsidP="00650FF3">
      <w:pPr>
        <w:pStyle w:val="Hesber"/>
        <w:ind w:left="501" w:right="-426" w:firstLine="0"/>
        <w:rPr>
          <w:rFonts w:ascii="Hadasa Roso SL" w:eastAsia="MS Mincho" w:hAnsi="Hadasa Roso SL"/>
          <w:spacing w:val="1"/>
          <w:sz w:val="24"/>
          <w:szCs w:val="24"/>
          <w:rtl/>
        </w:rPr>
      </w:pPr>
      <w:r w:rsidRPr="00650FF3">
        <w:rPr>
          <w:rFonts w:ascii="Hadasa Roso SL" w:eastAsia="MS Mincho" w:hAnsi="Hadasa Roso SL" w:hint="cs"/>
          <w:spacing w:val="1"/>
          <w:sz w:val="24"/>
          <w:szCs w:val="24"/>
          <w:rtl/>
        </w:rPr>
        <w:t xml:space="preserve">   </w:t>
      </w:r>
      <w:r w:rsidRPr="00A51AC9">
        <w:rPr>
          <w:rFonts w:ascii="Hadasa Roso SL" w:eastAsia="MS Mincho" w:hAnsi="Hadasa Roso SL" w:hint="cs"/>
          <w:spacing w:val="1"/>
          <w:sz w:val="24"/>
          <w:szCs w:val="24"/>
          <w:rtl/>
        </w:rPr>
        <w:t>החקיקה המוצעת אינה מחויבת</w:t>
      </w:r>
      <w:r w:rsidRPr="00A51AC9">
        <w:rPr>
          <w:rFonts w:ascii="Hadasa Roso SL" w:eastAsia="MS Mincho" w:hAnsi="Hadasa Roso SL"/>
          <w:spacing w:val="1"/>
          <w:sz w:val="24"/>
          <w:szCs w:val="24"/>
          <w:rtl/>
        </w:rPr>
        <w:t xml:space="preserve"> </w:t>
      </w:r>
      <w:r w:rsidRPr="00A51AC9">
        <w:rPr>
          <w:rFonts w:ascii="Hadasa Roso SL" w:eastAsia="MS Mincho" w:hAnsi="Hadasa Roso SL" w:hint="cs"/>
          <w:spacing w:val="1"/>
          <w:sz w:val="24"/>
          <w:szCs w:val="24"/>
          <w:rtl/>
        </w:rPr>
        <w:t>ב</w:t>
      </w:r>
      <w:r w:rsidRPr="00A51AC9">
        <w:rPr>
          <w:rFonts w:ascii="Hadasa Roso SL" w:eastAsia="MS Mincho" w:hAnsi="Hadasa Roso SL"/>
          <w:spacing w:val="1"/>
          <w:sz w:val="24"/>
          <w:szCs w:val="24"/>
          <w:rtl/>
        </w:rPr>
        <w:t>עריכת</w:t>
      </w:r>
      <w:r w:rsidR="00402CAB">
        <w:rPr>
          <w:rFonts w:ascii="Hadasa Roso SL" w:eastAsia="MS Mincho" w:hAnsi="Hadasa Roso SL" w:hint="cs"/>
          <w:spacing w:val="1"/>
          <w:sz w:val="24"/>
          <w:szCs w:val="24"/>
          <w:rtl/>
        </w:rPr>
        <w:t xml:space="preserve"> </w:t>
      </w:r>
      <w:r w:rsidR="00444C13">
        <w:rPr>
          <w:rFonts w:ascii="Hadasa Roso SL" w:eastAsia="MS Mincho" w:hAnsi="Hadasa Roso SL" w:hint="cs"/>
          <w:spacing w:val="1"/>
          <w:sz w:val="24"/>
          <w:szCs w:val="24"/>
          <w:rtl/>
        </w:rPr>
        <w:t>דו"ח</w:t>
      </w:r>
      <w:r w:rsidRPr="00A51AC9">
        <w:rPr>
          <w:rFonts w:ascii="Hadasa Roso SL" w:eastAsia="MS Mincho" w:hAnsi="Hadasa Roso SL"/>
          <w:spacing w:val="1"/>
          <w:sz w:val="24"/>
          <w:szCs w:val="24"/>
          <w:rtl/>
        </w:rPr>
        <w:t xml:space="preserve"> </w:t>
      </w:r>
      <w:r w:rsidRPr="00A51AC9">
        <w:rPr>
          <w:rFonts w:ascii="Hadasa Roso SL" w:eastAsia="MS Mincho" w:hAnsi="Hadasa Roso SL"/>
          <w:spacing w:val="1"/>
          <w:sz w:val="24"/>
          <w:szCs w:val="24"/>
        </w:rPr>
        <w:t>RIA</w:t>
      </w:r>
      <w:r w:rsidR="00444C13">
        <w:rPr>
          <w:rFonts w:ascii="Hadasa Roso SL" w:eastAsia="MS Mincho" w:hAnsi="Hadasa Roso SL" w:hint="cs"/>
          <w:spacing w:val="1"/>
          <w:sz w:val="24"/>
          <w:szCs w:val="24"/>
          <w:rtl/>
        </w:rPr>
        <w:t xml:space="preserve"> (ראו נספח פטור רצ"ב)</w:t>
      </w:r>
    </w:p>
    <w:p w:rsidR="00F72CDA" w:rsidRPr="00650FF3" w:rsidRDefault="00F72CDA" w:rsidP="00F72CDA">
      <w:pPr>
        <w:ind w:right="-426" w:firstLine="0"/>
        <w:rPr>
          <w:rFonts w:cs="David"/>
          <w:b/>
          <w:bCs/>
          <w:sz w:val="24"/>
          <w:szCs w:val="24"/>
          <w:u w:val="single"/>
        </w:rPr>
      </w:pPr>
    </w:p>
    <w:p w:rsidR="00F72CDA" w:rsidRPr="00650FF3" w:rsidRDefault="00F72CDA" w:rsidP="00F72CDA">
      <w:pPr>
        <w:pStyle w:val="aa"/>
        <w:numPr>
          <w:ilvl w:val="0"/>
          <w:numId w:val="5"/>
        </w:numPr>
        <w:spacing w:line="360" w:lineRule="auto"/>
        <w:ind w:right="-426"/>
        <w:jc w:val="both"/>
        <w:rPr>
          <w:b/>
          <w:bCs/>
          <w:szCs w:val="24"/>
          <w:u w:val="single"/>
        </w:rPr>
      </w:pPr>
      <w:r w:rsidRPr="00650FF3">
        <w:rPr>
          <w:b/>
          <w:bCs/>
          <w:szCs w:val="24"/>
          <w:u w:val="single"/>
          <w:rtl/>
        </w:rPr>
        <w:t>להלן הנוסח המוצע</w:t>
      </w:r>
      <w:r w:rsidRPr="00650FF3">
        <w:rPr>
          <w:rFonts w:hint="cs"/>
          <w:b/>
          <w:bCs/>
          <w:szCs w:val="24"/>
          <w:u w:val="single"/>
          <w:rtl/>
        </w:rPr>
        <w:t>:</w:t>
      </w:r>
    </w:p>
    <w:p w:rsidR="00F72CDA" w:rsidRPr="00650FF3" w:rsidRDefault="00F72CDA" w:rsidP="00402CAB">
      <w:pPr>
        <w:pStyle w:val="HeadHatzaotHok"/>
        <w:keepLines w:val="0"/>
        <w:jc w:val="both"/>
        <w:rPr>
          <w:sz w:val="24"/>
          <w:szCs w:val="24"/>
          <w:rtl/>
        </w:rPr>
      </w:pPr>
      <w:r w:rsidRPr="00650FF3">
        <w:rPr>
          <w:sz w:val="24"/>
          <w:szCs w:val="24"/>
          <w:rtl/>
        </w:rPr>
        <w:t>תזכיר חוק ההגבלים העסקיים (תיקון מס'</w:t>
      </w:r>
      <w:r w:rsidRPr="00650FF3">
        <w:rPr>
          <w:rFonts w:hint="cs"/>
          <w:sz w:val="24"/>
          <w:szCs w:val="24"/>
          <w:rtl/>
        </w:rPr>
        <w:t xml:space="preserve"> --</w:t>
      </w:r>
      <w:r w:rsidRPr="00650FF3">
        <w:rPr>
          <w:sz w:val="24"/>
          <w:szCs w:val="24"/>
          <w:rtl/>
        </w:rPr>
        <w:t xml:space="preserve">) </w:t>
      </w:r>
      <w:r w:rsidRPr="00650FF3">
        <w:rPr>
          <w:rFonts w:hint="cs"/>
          <w:sz w:val="24"/>
          <w:szCs w:val="24"/>
          <w:rtl/>
        </w:rPr>
        <w:t xml:space="preserve">(הסרת חסמים בתחום היבוא), </w:t>
      </w:r>
      <w:r w:rsidRPr="00650FF3">
        <w:rPr>
          <w:sz w:val="24"/>
          <w:szCs w:val="24"/>
          <w:rtl/>
        </w:rPr>
        <w:t>התשע"</w:t>
      </w:r>
      <w:r w:rsidR="006C1707" w:rsidRPr="00650FF3">
        <w:rPr>
          <w:rFonts w:hint="cs"/>
          <w:sz w:val="24"/>
          <w:szCs w:val="24"/>
          <w:rtl/>
        </w:rPr>
        <w:t>ז</w:t>
      </w:r>
      <w:r w:rsidRPr="00650FF3">
        <w:rPr>
          <w:sz w:val="24"/>
          <w:szCs w:val="24"/>
          <w:rtl/>
        </w:rPr>
        <w:t>–</w:t>
      </w:r>
      <w:r w:rsidR="006C1707" w:rsidRPr="00650FF3">
        <w:rPr>
          <w:sz w:val="24"/>
          <w:szCs w:val="24"/>
          <w:rtl/>
        </w:rPr>
        <w:t>201</w:t>
      </w:r>
      <w:r w:rsidR="006C1707" w:rsidRPr="00650FF3">
        <w:rPr>
          <w:rFonts w:hint="cs"/>
          <w:sz w:val="24"/>
          <w:szCs w:val="24"/>
          <w:rtl/>
        </w:rPr>
        <w:t>7</w:t>
      </w:r>
    </w:p>
    <w:p w:rsidR="00A10F1B" w:rsidRPr="00650FF3" w:rsidRDefault="00A10F1B" w:rsidP="002A3546">
      <w:pPr>
        <w:pStyle w:val="Noparagraphstyle"/>
        <w:ind w:right="-28"/>
        <w:rPr>
          <w:b/>
          <w:bCs/>
          <w:sz w:val="24"/>
          <w:szCs w:val="24"/>
          <w:rtl/>
        </w:rPr>
      </w:pPr>
    </w:p>
    <w:tbl>
      <w:tblPr>
        <w:tblpPr w:leftFromText="180" w:rightFromText="180" w:vertAnchor="text" w:tblpXSpec="center" w:tblpY="1"/>
        <w:tblOverlap w:val="never"/>
        <w:bidiVisual/>
        <w:tblW w:w="10039" w:type="dxa"/>
        <w:tblLayout w:type="fixed"/>
        <w:tblCellMar>
          <w:top w:w="57" w:type="dxa"/>
          <w:left w:w="0" w:type="dxa"/>
          <w:bottom w:w="57" w:type="dxa"/>
          <w:right w:w="0" w:type="dxa"/>
        </w:tblCellMar>
        <w:tblLook w:val="04A0" w:firstRow="1" w:lastRow="0" w:firstColumn="1" w:lastColumn="0" w:noHBand="0" w:noVBand="1"/>
      </w:tblPr>
      <w:tblGrid>
        <w:gridCol w:w="1451"/>
        <w:gridCol w:w="278"/>
        <w:gridCol w:w="988"/>
        <w:gridCol w:w="500"/>
        <w:gridCol w:w="6822"/>
      </w:tblGrid>
      <w:tr w:rsidR="00A10F1B" w:rsidRPr="00650FF3" w:rsidTr="001D586D">
        <w:trPr>
          <w:cantSplit/>
          <w:trHeight w:val="132"/>
        </w:trPr>
        <w:tc>
          <w:tcPr>
            <w:tcW w:w="1451" w:type="dxa"/>
            <w:tcMar>
              <w:top w:w="91" w:type="dxa"/>
              <w:left w:w="0" w:type="dxa"/>
              <w:bottom w:w="91" w:type="dxa"/>
              <w:right w:w="0" w:type="dxa"/>
            </w:tcMar>
          </w:tcPr>
          <w:p w:rsidR="00A10F1B" w:rsidRPr="00650FF3" w:rsidRDefault="00A10F1B" w:rsidP="003F5CE7">
            <w:pPr>
              <w:pStyle w:val="TableSideHeading"/>
              <w:rPr>
                <w:sz w:val="24"/>
                <w:szCs w:val="24"/>
              </w:rPr>
            </w:pPr>
            <w:r w:rsidRPr="00650FF3">
              <w:rPr>
                <w:rFonts w:hint="cs"/>
                <w:sz w:val="24"/>
                <w:szCs w:val="24"/>
                <w:rtl/>
              </w:rPr>
              <w:t>הוספת פרק ד'2</w:t>
            </w:r>
          </w:p>
        </w:tc>
        <w:tc>
          <w:tcPr>
            <w:tcW w:w="278" w:type="dxa"/>
            <w:tcMar>
              <w:top w:w="91" w:type="dxa"/>
              <w:left w:w="0" w:type="dxa"/>
              <w:bottom w:w="91" w:type="dxa"/>
              <w:right w:w="0" w:type="dxa"/>
            </w:tcMar>
          </w:tcPr>
          <w:p w:rsidR="00A10F1B" w:rsidRPr="00650FF3" w:rsidRDefault="00A10F1B" w:rsidP="003F5CE7">
            <w:pPr>
              <w:pStyle w:val="TableText"/>
              <w:rPr>
                <w:sz w:val="24"/>
                <w:szCs w:val="24"/>
              </w:rPr>
            </w:pPr>
            <w:r w:rsidRPr="00650FF3">
              <w:rPr>
                <w:rFonts w:hint="cs"/>
                <w:sz w:val="24"/>
                <w:szCs w:val="24"/>
                <w:rtl/>
              </w:rPr>
              <w:t>1.</w:t>
            </w:r>
          </w:p>
        </w:tc>
        <w:tc>
          <w:tcPr>
            <w:tcW w:w="8310" w:type="dxa"/>
            <w:gridSpan w:val="3"/>
            <w:tcMar>
              <w:top w:w="91" w:type="dxa"/>
              <w:left w:w="0" w:type="dxa"/>
              <w:bottom w:w="91" w:type="dxa"/>
              <w:right w:w="0" w:type="dxa"/>
            </w:tcMar>
          </w:tcPr>
          <w:p w:rsidR="00A10F1B" w:rsidRPr="00650FF3" w:rsidRDefault="00A10F1B" w:rsidP="003F5CE7">
            <w:pPr>
              <w:pStyle w:val="TableBlock"/>
              <w:rPr>
                <w:sz w:val="24"/>
                <w:szCs w:val="24"/>
              </w:rPr>
            </w:pPr>
            <w:r w:rsidRPr="00650FF3">
              <w:rPr>
                <w:rFonts w:hint="cs"/>
                <w:sz w:val="24"/>
                <w:szCs w:val="24"/>
                <w:rtl/>
              </w:rPr>
              <w:t>בחוק ההגבלים העסקיים, התשמ"ח</w:t>
            </w:r>
            <w:r w:rsidRPr="00650FF3">
              <w:rPr>
                <w:rFonts w:hint="eastAsia"/>
                <w:sz w:val="24"/>
                <w:szCs w:val="24"/>
                <w:rtl/>
              </w:rPr>
              <w:t>–</w:t>
            </w:r>
            <w:r w:rsidRPr="00650FF3">
              <w:rPr>
                <w:rFonts w:hint="cs"/>
                <w:sz w:val="24"/>
                <w:szCs w:val="24"/>
                <w:rtl/>
              </w:rPr>
              <w:t>1988‏</w:t>
            </w:r>
            <w:r w:rsidRPr="00650FF3">
              <w:rPr>
                <w:sz w:val="24"/>
                <w:szCs w:val="24"/>
                <w:rtl/>
              </w:rPr>
              <w:footnoteReference w:id="1"/>
            </w:r>
            <w:r w:rsidRPr="00650FF3">
              <w:rPr>
                <w:rFonts w:hint="cs"/>
                <w:sz w:val="24"/>
                <w:szCs w:val="24"/>
                <w:rtl/>
              </w:rPr>
              <w:t xml:space="preserve"> (להלן </w:t>
            </w:r>
            <w:r w:rsidRPr="00650FF3">
              <w:rPr>
                <w:rFonts w:hint="eastAsia"/>
                <w:sz w:val="24"/>
                <w:szCs w:val="24"/>
                <w:rtl/>
              </w:rPr>
              <w:t>–</w:t>
            </w:r>
            <w:r w:rsidRPr="00650FF3">
              <w:rPr>
                <w:rFonts w:hint="cs"/>
                <w:sz w:val="24"/>
                <w:szCs w:val="24"/>
                <w:rtl/>
              </w:rPr>
              <w:t xml:space="preserve"> החוק העיקרי), אחרי סעיף 31ד לחוק העיקרי יבוא:</w:t>
            </w:r>
          </w:p>
        </w:tc>
      </w:tr>
      <w:tr w:rsidR="00A10F1B" w:rsidRPr="00650FF3" w:rsidTr="001D586D">
        <w:trPr>
          <w:cantSplit/>
          <w:trHeight w:val="132"/>
        </w:trPr>
        <w:tc>
          <w:tcPr>
            <w:tcW w:w="1451" w:type="dxa"/>
            <w:vAlign w:val="center"/>
          </w:tcPr>
          <w:p w:rsidR="00A10F1B" w:rsidRPr="00650FF3" w:rsidRDefault="00A10F1B" w:rsidP="003F5CE7">
            <w:pPr>
              <w:pStyle w:val="TableSideHeading"/>
              <w:ind w:right="0"/>
              <w:rPr>
                <w:sz w:val="24"/>
                <w:szCs w:val="24"/>
              </w:rPr>
            </w:pPr>
          </w:p>
        </w:tc>
        <w:tc>
          <w:tcPr>
            <w:tcW w:w="278" w:type="dxa"/>
            <w:tcMar>
              <w:top w:w="91" w:type="dxa"/>
              <w:left w:w="0" w:type="dxa"/>
              <w:bottom w:w="91" w:type="dxa"/>
              <w:right w:w="0" w:type="dxa"/>
            </w:tcMar>
          </w:tcPr>
          <w:p w:rsidR="00A10F1B" w:rsidRPr="00650FF3" w:rsidRDefault="00A10F1B" w:rsidP="003F5CE7">
            <w:pPr>
              <w:pStyle w:val="TableText"/>
              <w:rPr>
                <w:sz w:val="24"/>
                <w:szCs w:val="24"/>
              </w:rPr>
            </w:pPr>
          </w:p>
        </w:tc>
        <w:tc>
          <w:tcPr>
            <w:tcW w:w="8310" w:type="dxa"/>
            <w:gridSpan w:val="3"/>
            <w:tcMar>
              <w:top w:w="91" w:type="dxa"/>
              <w:left w:w="0" w:type="dxa"/>
              <w:bottom w:w="91" w:type="dxa"/>
              <w:right w:w="0" w:type="dxa"/>
            </w:tcMar>
          </w:tcPr>
          <w:p w:rsidR="00A10F1B" w:rsidRPr="00650FF3" w:rsidRDefault="00A10F1B" w:rsidP="00610C65">
            <w:pPr>
              <w:pStyle w:val="TableHead"/>
              <w:rPr>
                <w:sz w:val="24"/>
                <w:szCs w:val="24"/>
              </w:rPr>
            </w:pPr>
            <w:r w:rsidRPr="00650FF3">
              <w:rPr>
                <w:rFonts w:hint="cs"/>
                <w:sz w:val="24"/>
                <w:szCs w:val="24"/>
                <w:rtl/>
              </w:rPr>
              <w:t>"פרק ד'2</w:t>
            </w:r>
            <w:r w:rsidR="003A743B" w:rsidRPr="00650FF3">
              <w:rPr>
                <w:rFonts w:hint="cs"/>
                <w:sz w:val="24"/>
                <w:szCs w:val="24"/>
                <w:rtl/>
              </w:rPr>
              <w:t xml:space="preserve"> </w:t>
            </w:r>
            <w:r w:rsidR="00610C65" w:rsidRPr="00650FF3">
              <w:rPr>
                <w:rFonts w:hint="cs"/>
                <w:sz w:val="24"/>
                <w:szCs w:val="24"/>
                <w:rtl/>
              </w:rPr>
              <w:t>:הוראות למניעת</w:t>
            </w:r>
            <w:r w:rsidR="007C6AA7" w:rsidRPr="00650FF3">
              <w:rPr>
                <w:rFonts w:hint="cs"/>
                <w:sz w:val="24"/>
                <w:szCs w:val="24"/>
                <w:rtl/>
              </w:rPr>
              <w:t xml:space="preserve"> דחיק</w:t>
            </w:r>
            <w:r w:rsidR="00610C65" w:rsidRPr="00650FF3">
              <w:rPr>
                <w:rFonts w:hint="cs"/>
                <w:sz w:val="24"/>
                <w:szCs w:val="24"/>
                <w:rtl/>
              </w:rPr>
              <w:t>ה</w:t>
            </w:r>
            <w:r w:rsidR="007C6AA7" w:rsidRPr="00650FF3">
              <w:rPr>
                <w:rFonts w:hint="cs"/>
                <w:sz w:val="24"/>
                <w:szCs w:val="24"/>
                <w:rtl/>
              </w:rPr>
              <w:t xml:space="preserve"> </w:t>
            </w:r>
            <w:r w:rsidR="00610C65" w:rsidRPr="00650FF3">
              <w:rPr>
                <w:rFonts w:hint="cs"/>
                <w:sz w:val="24"/>
                <w:szCs w:val="24"/>
                <w:rtl/>
              </w:rPr>
              <w:t xml:space="preserve">של </w:t>
            </w:r>
            <w:r w:rsidR="007C6AA7" w:rsidRPr="00650FF3">
              <w:rPr>
                <w:rFonts w:hint="cs"/>
                <w:sz w:val="24"/>
                <w:szCs w:val="24"/>
                <w:rtl/>
              </w:rPr>
              <w:t>יבוא מקביל</w:t>
            </w:r>
          </w:p>
        </w:tc>
      </w:tr>
      <w:tr w:rsidR="00A10F1B" w:rsidRPr="00650FF3" w:rsidTr="001D586D">
        <w:trPr>
          <w:cantSplit/>
          <w:trHeight w:val="132"/>
        </w:trPr>
        <w:tc>
          <w:tcPr>
            <w:tcW w:w="1451" w:type="dxa"/>
            <w:tcMar>
              <w:top w:w="91" w:type="dxa"/>
              <w:left w:w="0" w:type="dxa"/>
              <w:bottom w:w="91" w:type="dxa"/>
              <w:right w:w="0" w:type="dxa"/>
            </w:tcMar>
          </w:tcPr>
          <w:p w:rsidR="00A10F1B" w:rsidRPr="00650FF3" w:rsidRDefault="00A10F1B" w:rsidP="003F5CE7">
            <w:pPr>
              <w:pStyle w:val="TableSideHeading"/>
              <w:rPr>
                <w:sz w:val="24"/>
                <w:szCs w:val="24"/>
              </w:rPr>
            </w:pPr>
          </w:p>
        </w:tc>
        <w:tc>
          <w:tcPr>
            <w:tcW w:w="278" w:type="dxa"/>
            <w:tcMar>
              <w:top w:w="91" w:type="dxa"/>
              <w:left w:w="0" w:type="dxa"/>
              <w:bottom w:w="91" w:type="dxa"/>
              <w:right w:w="0" w:type="dxa"/>
            </w:tcMar>
          </w:tcPr>
          <w:p w:rsidR="00A10F1B" w:rsidRPr="00650FF3" w:rsidRDefault="00A10F1B" w:rsidP="003F5CE7">
            <w:pPr>
              <w:pStyle w:val="TableText"/>
              <w:rPr>
                <w:sz w:val="24"/>
                <w:szCs w:val="24"/>
              </w:rPr>
            </w:pPr>
          </w:p>
        </w:tc>
        <w:tc>
          <w:tcPr>
            <w:tcW w:w="988" w:type="dxa"/>
            <w:tcMar>
              <w:top w:w="91" w:type="dxa"/>
              <w:left w:w="0" w:type="dxa"/>
              <w:bottom w:w="91" w:type="dxa"/>
              <w:right w:w="0" w:type="dxa"/>
            </w:tcMar>
          </w:tcPr>
          <w:p w:rsidR="00A10F1B" w:rsidRPr="00650FF3" w:rsidRDefault="00A10F1B" w:rsidP="003F5CE7">
            <w:pPr>
              <w:pStyle w:val="TableInnerSideHeading"/>
              <w:rPr>
                <w:sz w:val="24"/>
                <w:szCs w:val="24"/>
              </w:rPr>
            </w:pPr>
            <w:r w:rsidRPr="00650FF3">
              <w:rPr>
                <w:rFonts w:hint="cs"/>
                <w:sz w:val="24"/>
                <w:szCs w:val="24"/>
                <w:rtl/>
              </w:rPr>
              <w:t>הגדרות</w:t>
            </w:r>
          </w:p>
        </w:tc>
        <w:tc>
          <w:tcPr>
            <w:tcW w:w="500" w:type="dxa"/>
            <w:tcMar>
              <w:top w:w="91" w:type="dxa"/>
              <w:left w:w="0" w:type="dxa"/>
              <w:bottom w:w="91" w:type="dxa"/>
              <w:right w:w="0" w:type="dxa"/>
            </w:tcMar>
          </w:tcPr>
          <w:p w:rsidR="00A10F1B" w:rsidRPr="00650FF3" w:rsidRDefault="00A10F1B" w:rsidP="003F5CE7">
            <w:pPr>
              <w:pStyle w:val="TableText"/>
              <w:rPr>
                <w:sz w:val="24"/>
                <w:szCs w:val="24"/>
              </w:rPr>
            </w:pPr>
            <w:r w:rsidRPr="00650FF3">
              <w:rPr>
                <w:rFonts w:hint="cs"/>
                <w:sz w:val="24"/>
                <w:szCs w:val="24"/>
                <w:rtl/>
              </w:rPr>
              <w:t>31ה.</w:t>
            </w:r>
          </w:p>
        </w:tc>
        <w:tc>
          <w:tcPr>
            <w:tcW w:w="6822" w:type="dxa"/>
            <w:tcMar>
              <w:top w:w="91" w:type="dxa"/>
              <w:left w:w="0" w:type="dxa"/>
              <w:bottom w:w="91" w:type="dxa"/>
              <w:right w:w="0" w:type="dxa"/>
            </w:tcMar>
          </w:tcPr>
          <w:p w:rsidR="00A10F1B" w:rsidRPr="00650FF3" w:rsidRDefault="00A10F1B" w:rsidP="003F5CE7">
            <w:pPr>
              <w:pStyle w:val="TableBlock"/>
              <w:rPr>
                <w:sz w:val="24"/>
                <w:szCs w:val="24"/>
              </w:rPr>
            </w:pPr>
            <w:r w:rsidRPr="00650FF3">
              <w:rPr>
                <w:rFonts w:hint="cs"/>
                <w:sz w:val="24"/>
                <w:szCs w:val="24"/>
                <w:rtl/>
              </w:rPr>
              <w:t xml:space="preserve">בפרק זה </w:t>
            </w:r>
            <w:r w:rsidRPr="00650FF3">
              <w:rPr>
                <w:sz w:val="24"/>
                <w:szCs w:val="24"/>
                <w:rtl/>
              </w:rPr>
              <w:t>–</w:t>
            </w:r>
            <w:r w:rsidRPr="00650FF3">
              <w:rPr>
                <w:rFonts w:hint="cs"/>
                <w:sz w:val="24"/>
                <w:szCs w:val="24"/>
                <w:rtl/>
              </w:rPr>
              <w:t xml:space="preserve"> </w:t>
            </w:r>
          </w:p>
        </w:tc>
      </w:tr>
      <w:tr w:rsidR="009137ED" w:rsidRPr="00650FF3" w:rsidTr="001D586D">
        <w:trPr>
          <w:cantSplit/>
          <w:trHeight w:val="2471"/>
        </w:trPr>
        <w:tc>
          <w:tcPr>
            <w:tcW w:w="1451" w:type="dxa"/>
            <w:tcMar>
              <w:top w:w="91" w:type="dxa"/>
              <w:left w:w="0" w:type="dxa"/>
              <w:bottom w:w="91" w:type="dxa"/>
              <w:right w:w="0" w:type="dxa"/>
            </w:tcMar>
          </w:tcPr>
          <w:p w:rsidR="009137ED" w:rsidRPr="00650FF3" w:rsidRDefault="009137ED" w:rsidP="003F5CE7">
            <w:pPr>
              <w:pStyle w:val="TableSideHeading"/>
              <w:rPr>
                <w:sz w:val="24"/>
                <w:szCs w:val="24"/>
              </w:rPr>
            </w:pPr>
          </w:p>
        </w:tc>
        <w:tc>
          <w:tcPr>
            <w:tcW w:w="278" w:type="dxa"/>
            <w:tcMar>
              <w:top w:w="91" w:type="dxa"/>
              <w:left w:w="0" w:type="dxa"/>
              <w:bottom w:w="91" w:type="dxa"/>
              <w:right w:w="0" w:type="dxa"/>
            </w:tcMar>
          </w:tcPr>
          <w:p w:rsidR="009137ED" w:rsidRPr="00650FF3" w:rsidRDefault="009137ED" w:rsidP="003F5CE7">
            <w:pPr>
              <w:pStyle w:val="TableText"/>
              <w:rPr>
                <w:sz w:val="24"/>
                <w:szCs w:val="24"/>
              </w:rPr>
            </w:pPr>
          </w:p>
        </w:tc>
        <w:tc>
          <w:tcPr>
            <w:tcW w:w="988" w:type="dxa"/>
            <w:tcMar>
              <w:top w:w="91" w:type="dxa"/>
              <w:left w:w="0" w:type="dxa"/>
              <w:bottom w:w="91" w:type="dxa"/>
              <w:right w:w="0" w:type="dxa"/>
            </w:tcMar>
          </w:tcPr>
          <w:p w:rsidR="009137ED" w:rsidRPr="000A64D8" w:rsidRDefault="009137ED" w:rsidP="003F5CE7">
            <w:pPr>
              <w:pStyle w:val="TableText"/>
              <w:rPr>
                <w:snapToGrid w:val="0"/>
                <w:sz w:val="24"/>
                <w:szCs w:val="24"/>
              </w:rPr>
            </w:pPr>
          </w:p>
        </w:tc>
        <w:tc>
          <w:tcPr>
            <w:tcW w:w="500" w:type="dxa"/>
            <w:tcMar>
              <w:top w:w="91" w:type="dxa"/>
              <w:left w:w="0" w:type="dxa"/>
              <w:bottom w:w="91" w:type="dxa"/>
              <w:right w:w="0" w:type="dxa"/>
            </w:tcMar>
          </w:tcPr>
          <w:p w:rsidR="009137ED" w:rsidRPr="00F7217A" w:rsidRDefault="009137ED" w:rsidP="003F5CE7">
            <w:pPr>
              <w:pStyle w:val="TableText"/>
              <w:rPr>
                <w:snapToGrid w:val="0"/>
                <w:sz w:val="24"/>
                <w:szCs w:val="24"/>
              </w:rPr>
            </w:pPr>
          </w:p>
        </w:tc>
        <w:tc>
          <w:tcPr>
            <w:tcW w:w="6822" w:type="dxa"/>
            <w:tcMar>
              <w:top w:w="91" w:type="dxa"/>
              <w:left w:w="0" w:type="dxa"/>
              <w:bottom w:w="91" w:type="dxa"/>
              <w:right w:w="0" w:type="dxa"/>
            </w:tcMar>
          </w:tcPr>
          <w:p w:rsidR="00397934" w:rsidRPr="00650FF3" w:rsidRDefault="009137ED" w:rsidP="000A64D8">
            <w:pPr>
              <w:spacing w:after="120" w:line="360" w:lineRule="auto"/>
              <w:ind w:left="720" w:hanging="720"/>
              <w:rPr>
                <w:rFonts w:ascii="Arial" w:eastAsia="Arial Unicode MS" w:hAnsi="Arial" w:cs="David"/>
                <w:snapToGrid w:val="0"/>
                <w:spacing w:val="0"/>
                <w:sz w:val="24"/>
                <w:szCs w:val="24"/>
                <w:rtl/>
              </w:rPr>
            </w:pPr>
            <w:r w:rsidRPr="00650FF3">
              <w:rPr>
                <w:rFonts w:ascii="Arial" w:eastAsia="Arial Unicode MS" w:hAnsi="Arial" w:cs="David" w:hint="cs"/>
                <w:snapToGrid w:val="0"/>
                <w:spacing w:val="0"/>
                <w:sz w:val="24"/>
                <w:szCs w:val="24"/>
                <w:rtl/>
              </w:rPr>
              <w:t xml:space="preserve">"יבואן </w:t>
            </w:r>
            <w:r w:rsidR="007D6633" w:rsidRPr="00650FF3">
              <w:rPr>
                <w:rFonts w:ascii="Arial" w:eastAsia="Arial Unicode MS" w:hAnsi="Arial" w:cs="David" w:hint="cs"/>
                <w:snapToGrid w:val="0"/>
                <w:spacing w:val="0"/>
                <w:sz w:val="24"/>
                <w:szCs w:val="24"/>
                <w:rtl/>
              </w:rPr>
              <w:t>מורשה</w:t>
            </w:r>
            <w:r w:rsidRPr="00650FF3">
              <w:rPr>
                <w:rFonts w:ascii="Arial" w:eastAsia="Arial Unicode MS" w:hAnsi="Arial" w:cs="David" w:hint="cs"/>
                <w:snapToGrid w:val="0"/>
                <w:spacing w:val="0"/>
                <w:sz w:val="24"/>
                <w:szCs w:val="24"/>
                <w:rtl/>
              </w:rPr>
              <w:t xml:space="preserve">" </w:t>
            </w:r>
            <w:r w:rsidRPr="00650FF3">
              <w:rPr>
                <w:rFonts w:ascii="Arial" w:eastAsia="Arial Unicode MS" w:hAnsi="Arial" w:cs="David"/>
                <w:snapToGrid w:val="0"/>
                <w:spacing w:val="0"/>
                <w:sz w:val="24"/>
                <w:szCs w:val="24"/>
                <w:rtl/>
              </w:rPr>
              <w:t>–</w:t>
            </w:r>
            <w:r w:rsidRPr="00650FF3">
              <w:rPr>
                <w:rFonts w:ascii="Arial" w:eastAsia="Arial Unicode MS" w:hAnsi="Arial" w:cs="David" w:hint="cs"/>
                <w:snapToGrid w:val="0"/>
                <w:spacing w:val="0"/>
                <w:sz w:val="24"/>
                <w:szCs w:val="24"/>
                <w:rtl/>
              </w:rPr>
              <w:t xml:space="preserve"> </w:t>
            </w:r>
            <w:r w:rsidR="000A64D8">
              <w:rPr>
                <w:rFonts w:ascii="Arial" w:eastAsia="Arial Unicode MS" w:hAnsi="Arial" w:cs="David" w:hint="cs"/>
                <w:snapToGrid w:val="0"/>
                <w:spacing w:val="0"/>
                <w:sz w:val="24"/>
                <w:szCs w:val="24"/>
                <w:rtl/>
              </w:rPr>
              <w:t>מי שהוא א</w:t>
            </w:r>
            <w:r w:rsidR="00397934" w:rsidRPr="00650FF3">
              <w:rPr>
                <w:rFonts w:ascii="Arial" w:eastAsia="Arial Unicode MS" w:hAnsi="Arial" w:cs="David" w:hint="cs"/>
                <w:snapToGrid w:val="0"/>
                <w:spacing w:val="0"/>
                <w:sz w:val="24"/>
                <w:szCs w:val="24"/>
                <w:rtl/>
              </w:rPr>
              <w:t>חד משני אלה:</w:t>
            </w:r>
          </w:p>
          <w:p w:rsidR="009F096C" w:rsidRPr="00F7217A" w:rsidRDefault="000A64D8" w:rsidP="002413F9">
            <w:pPr>
              <w:pStyle w:val="aa"/>
              <w:numPr>
                <w:ilvl w:val="0"/>
                <w:numId w:val="30"/>
              </w:numPr>
              <w:spacing w:after="120" w:line="360" w:lineRule="auto"/>
              <w:rPr>
                <w:rFonts w:ascii="Arial" w:eastAsia="Arial Unicode MS" w:hAnsi="Arial"/>
                <w:snapToGrid w:val="0"/>
                <w:color w:val="000000"/>
                <w:szCs w:val="24"/>
                <w:lang w:eastAsia="ja-JP"/>
              </w:rPr>
            </w:pPr>
            <w:r>
              <w:rPr>
                <w:rFonts w:ascii="Arial" w:eastAsia="Arial Unicode MS" w:hAnsi="Arial" w:hint="cs"/>
                <w:snapToGrid w:val="0"/>
                <w:color w:val="000000"/>
                <w:szCs w:val="24"/>
                <w:rtl/>
                <w:lang w:eastAsia="ja-JP"/>
              </w:rPr>
              <w:t xml:space="preserve">אדם אשר </w:t>
            </w:r>
            <w:r w:rsidR="009137ED" w:rsidRPr="00F7217A">
              <w:rPr>
                <w:rFonts w:ascii="Arial" w:eastAsia="Arial Unicode MS" w:hAnsi="Arial" w:hint="cs"/>
                <w:snapToGrid w:val="0"/>
                <w:color w:val="000000"/>
                <w:szCs w:val="24"/>
                <w:rtl/>
                <w:lang w:eastAsia="ja-JP"/>
              </w:rPr>
              <w:t xml:space="preserve">מורשה על ידי יצרן של טובין המיוצרים מחוץ לישראל לייבא לישראל </w:t>
            </w:r>
            <w:r w:rsidR="0008075E" w:rsidRPr="00F7217A">
              <w:rPr>
                <w:rFonts w:ascii="Arial" w:eastAsia="Arial Unicode MS" w:hAnsi="Arial" w:hint="cs"/>
                <w:snapToGrid w:val="0"/>
                <w:color w:val="000000"/>
                <w:szCs w:val="24"/>
                <w:rtl/>
                <w:lang w:eastAsia="ja-JP"/>
              </w:rPr>
              <w:t>א</w:t>
            </w:r>
            <w:r w:rsidR="009137ED" w:rsidRPr="00F7217A">
              <w:rPr>
                <w:rFonts w:ascii="Arial" w:eastAsia="Arial Unicode MS" w:hAnsi="Arial" w:hint="cs"/>
                <w:snapToGrid w:val="0"/>
                <w:color w:val="000000"/>
                <w:szCs w:val="24"/>
                <w:rtl/>
                <w:lang w:eastAsia="ja-JP"/>
              </w:rPr>
              <w:t>ו</w:t>
            </w:r>
            <w:r w:rsidR="0008075E" w:rsidRPr="00F7217A">
              <w:rPr>
                <w:rFonts w:ascii="Arial" w:eastAsia="Arial Unicode MS" w:hAnsi="Arial" w:hint="cs"/>
                <w:snapToGrid w:val="0"/>
                <w:color w:val="000000"/>
                <w:szCs w:val="24"/>
                <w:rtl/>
                <w:lang w:eastAsia="ja-JP"/>
              </w:rPr>
              <w:t xml:space="preserve"> </w:t>
            </w:r>
            <w:r w:rsidR="009137ED" w:rsidRPr="00F7217A">
              <w:rPr>
                <w:rFonts w:ascii="Arial" w:eastAsia="Arial Unicode MS" w:hAnsi="Arial" w:hint="cs"/>
                <w:snapToGrid w:val="0"/>
                <w:color w:val="000000"/>
                <w:szCs w:val="24"/>
                <w:rtl/>
                <w:lang w:eastAsia="ja-JP"/>
              </w:rPr>
              <w:t>להפיץ בה את הטובין</w:t>
            </w:r>
            <w:r w:rsidR="008B5F84" w:rsidRPr="00F7217A">
              <w:rPr>
                <w:rFonts w:ascii="Arial" w:eastAsia="Arial Unicode MS" w:hAnsi="Arial" w:hint="cs"/>
                <w:snapToGrid w:val="0"/>
                <w:color w:val="000000"/>
                <w:szCs w:val="24"/>
                <w:rtl/>
                <w:lang w:eastAsia="ja-JP"/>
              </w:rPr>
              <w:t>,</w:t>
            </w:r>
            <w:r w:rsidR="002413F9" w:rsidRPr="00F7217A">
              <w:rPr>
                <w:rFonts w:ascii="Arial" w:eastAsia="Arial Unicode MS" w:hAnsi="Arial" w:hint="cs"/>
                <w:snapToGrid w:val="0"/>
                <w:color w:val="000000"/>
                <w:szCs w:val="24"/>
                <w:rtl/>
                <w:lang w:eastAsia="ja-JP"/>
              </w:rPr>
              <w:t xml:space="preserve"> ומי שפועל מטעם מורשה כאמור</w:t>
            </w:r>
            <w:r w:rsidR="009F096C" w:rsidRPr="00F7217A">
              <w:rPr>
                <w:rFonts w:ascii="Arial" w:eastAsia="Arial Unicode MS" w:hAnsi="Arial" w:hint="cs"/>
                <w:snapToGrid w:val="0"/>
                <w:color w:val="000000"/>
                <w:szCs w:val="24"/>
                <w:rtl/>
                <w:lang w:eastAsia="ja-JP"/>
              </w:rPr>
              <w:t>;</w:t>
            </w:r>
          </w:p>
          <w:p w:rsidR="00F7217A" w:rsidRDefault="007D6633" w:rsidP="000A64D8">
            <w:pPr>
              <w:pStyle w:val="aa"/>
              <w:numPr>
                <w:ilvl w:val="0"/>
                <w:numId w:val="30"/>
              </w:numPr>
              <w:spacing w:after="120" w:line="360" w:lineRule="auto"/>
              <w:rPr>
                <w:rFonts w:ascii="Arial" w:eastAsia="Arial Unicode MS" w:hAnsi="Arial"/>
                <w:snapToGrid w:val="0"/>
                <w:color w:val="000000"/>
                <w:szCs w:val="24"/>
                <w:lang w:eastAsia="ja-JP"/>
              </w:rPr>
            </w:pPr>
            <w:r w:rsidRPr="00F7217A">
              <w:rPr>
                <w:rFonts w:ascii="Arial" w:eastAsia="Arial Unicode MS" w:hAnsi="Arial" w:hint="cs"/>
                <w:snapToGrid w:val="0"/>
                <w:color w:val="000000"/>
                <w:szCs w:val="24"/>
                <w:rtl/>
                <w:lang w:eastAsia="ja-JP"/>
              </w:rPr>
              <w:t xml:space="preserve"> </w:t>
            </w:r>
            <w:r w:rsidR="000A64D8">
              <w:rPr>
                <w:rFonts w:ascii="Arial" w:eastAsia="Arial Unicode MS" w:hAnsi="Arial" w:hint="cs"/>
                <w:snapToGrid w:val="0"/>
                <w:color w:val="000000"/>
                <w:szCs w:val="24"/>
                <w:rtl/>
                <w:lang w:eastAsia="ja-JP"/>
              </w:rPr>
              <w:t xml:space="preserve">אדם אשר </w:t>
            </w:r>
            <w:r w:rsidR="002413F9" w:rsidRPr="00F7217A">
              <w:rPr>
                <w:rFonts w:ascii="Arial" w:eastAsia="Arial Unicode MS" w:hAnsi="Arial" w:hint="cs"/>
                <w:snapToGrid w:val="0"/>
                <w:color w:val="000000"/>
                <w:szCs w:val="24"/>
                <w:rtl/>
                <w:lang w:eastAsia="ja-JP"/>
              </w:rPr>
              <w:t>מייצר ומפיץ בישראל טובין לפי זיכיון של גורם מחוץ לישראל</w:t>
            </w:r>
            <w:r w:rsidR="003A003D">
              <w:rPr>
                <w:rFonts w:ascii="Arial" w:eastAsia="Arial Unicode MS" w:hAnsi="Arial" w:hint="cs"/>
                <w:snapToGrid w:val="0"/>
                <w:color w:val="000000"/>
                <w:szCs w:val="24"/>
                <w:rtl/>
                <w:lang w:eastAsia="ja-JP"/>
              </w:rPr>
              <w:t>.</w:t>
            </w:r>
            <w:r w:rsidR="000A64D8" w:rsidRPr="000A64D8">
              <w:rPr>
                <w:rFonts w:ascii="Arial" w:eastAsia="Arial Unicode MS" w:hAnsi="Arial"/>
                <w:snapToGrid w:val="0"/>
                <w:color w:val="000000"/>
                <w:szCs w:val="24"/>
                <w:rtl/>
                <w:lang w:eastAsia="ja-JP"/>
              </w:rPr>
              <w:tab/>
            </w:r>
          </w:p>
          <w:p w:rsidR="00F7217A" w:rsidRPr="00F7217A" w:rsidRDefault="000A64D8" w:rsidP="003A003D">
            <w:pPr>
              <w:spacing w:after="120" w:line="360" w:lineRule="auto"/>
              <w:rPr>
                <w:rFonts w:ascii="Arial" w:eastAsia="Arial Unicode MS" w:hAnsi="Arial" w:cs="David"/>
                <w:snapToGrid w:val="0"/>
                <w:spacing w:val="0"/>
                <w:sz w:val="24"/>
                <w:szCs w:val="24"/>
                <w:rtl/>
              </w:rPr>
            </w:pPr>
            <w:r w:rsidRPr="000A64D8">
              <w:rPr>
                <w:rFonts w:ascii="Arial" w:eastAsia="Arial Unicode MS" w:hAnsi="Arial" w:cs="David" w:hint="cs"/>
                <w:snapToGrid w:val="0"/>
                <w:spacing w:val="0"/>
                <w:sz w:val="24"/>
                <w:szCs w:val="24"/>
                <w:rtl/>
              </w:rPr>
              <w:t xml:space="preserve">בפסקה זו, "אדם" </w:t>
            </w:r>
            <w:r w:rsidRPr="000A64D8">
              <w:rPr>
                <w:rFonts w:ascii="Arial" w:eastAsia="Arial Unicode MS" w:hAnsi="Arial" w:cs="David"/>
                <w:snapToGrid w:val="0"/>
                <w:spacing w:val="0"/>
                <w:sz w:val="24"/>
                <w:szCs w:val="24"/>
                <w:rtl/>
              </w:rPr>
              <w:t>–</w:t>
            </w:r>
            <w:r w:rsidRPr="000A64D8">
              <w:rPr>
                <w:rFonts w:ascii="Arial" w:eastAsia="Arial Unicode MS" w:hAnsi="Arial" w:cs="David" w:hint="cs"/>
                <w:snapToGrid w:val="0"/>
                <w:spacing w:val="0"/>
                <w:sz w:val="24"/>
                <w:szCs w:val="24"/>
                <w:rtl/>
              </w:rPr>
              <w:t xml:space="preserve"> כהגדרתו בסעיף 26 ו'. </w:t>
            </w:r>
          </w:p>
          <w:p w:rsidR="009137ED" w:rsidRPr="00650FF3" w:rsidRDefault="009137ED" w:rsidP="00397934">
            <w:pPr>
              <w:spacing w:after="120" w:line="360" w:lineRule="auto"/>
              <w:ind w:left="720" w:hanging="720"/>
              <w:rPr>
                <w:rFonts w:ascii="Arial" w:eastAsia="Arial Unicode MS" w:hAnsi="Arial" w:cs="David"/>
                <w:snapToGrid w:val="0"/>
                <w:spacing w:val="0"/>
                <w:sz w:val="24"/>
                <w:szCs w:val="24"/>
                <w:rtl/>
              </w:rPr>
            </w:pPr>
            <w:r w:rsidRPr="00650FF3">
              <w:rPr>
                <w:rFonts w:ascii="Arial" w:eastAsia="Arial Unicode MS" w:hAnsi="Arial" w:cs="David" w:hint="cs"/>
                <w:snapToGrid w:val="0"/>
                <w:spacing w:val="0"/>
                <w:sz w:val="24"/>
                <w:szCs w:val="24"/>
                <w:rtl/>
              </w:rPr>
              <w:t xml:space="preserve">"יבוא מקביל" </w:t>
            </w:r>
            <w:r w:rsidRPr="00650FF3">
              <w:rPr>
                <w:rFonts w:ascii="Arial" w:eastAsia="Arial Unicode MS" w:hAnsi="Arial" w:cs="David"/>
                <w:snapToGrid w:val="0"/>
                <w:spacing w:val="0"/>
                <w:sz w:val="24"/>
                <w:szCs w:val="24"/>
                <w:rtl/>
              </w:rPr>
              <w:t>–</w:t>
            </w:r>
            <w:r w:rsidRPr="00650FF3">
              <w:rPr>
                <w:rFonts w:ascii="Arial" w:eastAsia="Arial Unicode MS" w:hAnsi="Arial" w:cs="David" w:hint="cs"/>
                <w:snapToGrid w:val="0"/>
                <w:spacing w:val="0"/>
                <w:sz w:val="24"/>
                <w:szCs w:val="24"/>
                <w:rtl/>
              </w:rPr>
              <w:t xml:space="preserve">  יבוא </w:t>
            </w:r>
            <w:r w:rsidR="009735B9">
              <w:rPr>
                <w:rFonts w:ascii="Arial" w:eastAsia="Arial Unicode MS" w:hAnsi="Arial" w:cs="David" w:hint="cs"/>
                <w:snapToGrid w:val="0"/>
                <w:spacing w:val="0"/>
                <w:sz w:val="24"/>
                <w:szCs w:val="24"/>
                <w:rtl/>
              </w:rPr>
              <w:t xml:space="preserve">לישראל </w:t>
            </w:r>
            <w:r w:rsidRPr="00650FF3">
              <w:rPr>
                <w:rFonts w:ascii="Arial" w:eastAsia="Arial Unicode MS" w:hAnsi="Arial" w:cs="David" w:hint="cs"/>
                <w:snapToGrid w:val="0"/>
                <w:spacing w:val="0"/>
                <w:sz w:val="24"/>
                <w:szCs w:val="24"/>
                <w:rtl/>
              </w:rPr>
              <w:t>של טובין המיוצרים על ידי יצ</w:t>
            </w:r>
            <w:r w:rsidR="00D41A4E" w:rsidRPr="00650FF3">
              <w:rPr>
                <w:rFonts w:ascii="Arial" w:eastAsia="Arial Unicode MS" w:hAnsi="Arial" w:cs="David" w:hint="cs"/>
                <w:snapToGrid w:val="0"/>
                <w:spacing w:val="0"/>
                <w:sz w:val="24"/>
                <w:szCs w:val="24"/>
                <w:rtl/>
              </w:rPr>
              <w:t xml:space="preserve">רן מחוץ לישראל </w:t>
            </w:r>
            <w:r w:rsidR="002413F9" w:rsidRPr="00650FF3">
              <w:rPr>
                <w:rFonts w:ascii="Arial" w:eastAsia="Arial Unicode MS" w:hAnsi="Arial" w:cs="David" w:hint="cs"/>
                <w:snapToGrid w:val="0"/>
                <w:spacing w:val="0"/>
                <w:sz w:val="24"/>
                <w:szCs w:val="24"/>
                <w:rtl/>
              </w:rPr>
              <w:t xml:space="preserve">על ידי מי </w:t>
            </w:r>
            <w:r w:rsidR="00D41A4E" w:rsidRPr="00650FF3">
              <w:rPr>
                <w:rFonts w:ascii="Arial" w:eastAsia="Arial Unicode MS" w:hAnsi="Arial" w:cs="David" w:hint="cs"/>
                <w:snapToGrid w:val="0"/>
                <w:spacing w:val="0"/>
                <w:sz w:val="24"/>
                <w:szCs w:val="24"/>
                <w:rtl/>
              </w:rPr>
              <w:t xml:space="preserve">שאינו יבואן </w:t>
            </w:r>
            <w:r w:rsidR="00397934" w:rsidRPr="00650FF3">
              <w:rPr>
                <w:rFonts w:ascii="Arial" w:eastAsia="Arial Unicode MS" w:hAnsi="Arial" w:cs="David" w:hint="cs"/>
                <w:snapToGrid w:val="0"/>
                <w:spacing w:val="0"/>
                <w:sz w:val="24"/>
                <w:szCs w:val="24"/>
                <w:rtl/>
              </w:rPr>
              <w:t>מורשה</w:t>
            </w:r>
            <w:r w:rsidR="00A5074E" w:rsidRPr="00650FF3">
              <w:rPr>
                <w:rFonts w:ascii="Arial" w:eastAsia="Arial Unicode MS" w:hAnsi="Arial" w:cs="David" w:hint="cs"/>
                <w:snapToGrid w:val="0"/>
                <w:spacing w:val="0"/>
                <w:sz w:val="24"/>
                <w:szCs w:val="24"/>
                <w:rtl/>
              </w:rPr>
              <w:t>.</w:t>
            </w:r>
            <w:r w:rsidR="00A51AC9">
              <w:rPr>
                <w:rFonts w:ascii="Arial" w:eastAsia="Arial Unicode MS" w:hAnsi="Arial" w:cs="David" w:hint="cs"/>
                <w:snapToGrid w:val="0"/>
                <w:spacing w:val="0"/>
                <w:sz w:val="24"/>
                <w:szCs w:val="24"/>
                <w:rtl/>
              </w:rPr>
              <w:t xml:space="preserve"> </w:t>
            </w:r>
          </w:p>
        </w:tc>
      </w:tr>
      <w:tr w:rsidR="00A10F1B" w:rsidRPr="00650FF3" w:rsidTr="001D586D">
        <w:trPr>
          <w:cantSplit/>
          <w:trHeight w:val="729"/>
        </w:trPr>
        <w:tc>
          <w:tcPr>
            <w:tcW w:w="1451" w:type="dxa"/>
            <w:tcMar>
              <w:top w:w="91" w:type="dxa"/>
              <w:left w:w="0" w:type="dxa"/>
              <w:bottom w:w="91" w:type="dxa"/>
              <w:right w:w="0" w:type="dxa"/>
            </w:tcMar>
          </w:tcPr>
          <w:p w:rsidR="00A10F1B" w:rsidRPr="00650FF3" w:rsidRDefault="00A10F1B" w:rsidP="003F5CE7">
            <w:pPr>
              <w:pStyle w:val="TableSideHeading"/>
              <w:rPr>
                <w:sz w:val="24"/>
                <w:szCs w:val="24"/>
              </w:rPr>
            </w:pPr>
          </w:p>
        </w:tc>
        <w:tc>
          <w:tcPr>
            <w:tcW w:w="278" w:type="dxa"/>
            <w:tcMar>
              <w:top w:w="91" w:type="dxa"/>
              <w:left w:w="0" w:type="dxa"/>
              <w:bottom w:w="91" w:type="dxa"/>
              <w:right w:w="0" w:type="dxa"/>
            </w:tcMar>
          </w:tcPr>
          <w:p w:rsidR="00A10F1B" w:rsidRPr="00650FF3" w:rsidRDefault="00A10F1B" w:rsidP="003F5CE7">
            <w:pPr>
              <w:pStyle w:val="TableText"/>
              <w:rPr>
                <w:sz w:val="24"/>
                <w:szCs w:val="24"/>
              </w:rPr>
            </w:pPr>
          </w:p>
        </w:tc>
        <w:tc>
          <w:tcPr>
            <w:tcW w:w="988" w:type="dxa"/>
            <w:tcMar>
              <w:top w:w="91" w:type="dxa"/>
              <w:left w:w="0" w:type="dxa"/>
              <w:bottom w:w="91" w:type="dxa"/>
              <w:right w:w="0" w:type="dxa"/>
            </w:tcMar>
          </w:tcPr>
          <w:p w:rsidR="00A10F1B" w:rsidRPr="00650FF3" w:rsidRDefault="00164743" w:rsidP="00985FD1">
            <w:pPr>
              <w:pStyle w:val="TableInnerSideHeading"/>
              <w:ind w:right="0"/>
              <w:rPr>
                <w:sz w:val="24"/>
                <w:szCs w:val="24"/>
              </w:rPr>
            </w:pPr>
            <w:r w:rsidRPr="00650FF3">
              <w:rPr>
                <w:rFonts w:hint="cs"/>
                <w:sz w:val="24"/>
                <w:szCs w:val="24"/>
                <w:rtl/>
              </w:rPr>
              <w:t>הוראות למניעת</w:t>
            </w:r>
            <w:r w:rsidR="008D07BF" w:rsidRPr="00650FF3">
              <w:rPr>
                <w:rFonts w:hint="cs"/>
                <w:sz w:val="24"/>
                <w:szCs w:val="24"/>
                <w:rtl/>
              </w:rPr>
              <w:t xml:space="preserve"> </w:t>
            </w:r>
            <w:r w:rsidR="00985FD1" w:rsidRPr="00650FF3">
              <w:rPr>
                <w:rFonts w:hint="cs"/>
                <w:sz w:val="24"/>
                <w:szCs w:val="24"/>
                <w:rtl/>
              </w:rPr>
              <w:t>חשש ל</w:t>
            </w:r>
            <w:r w:rsidR="00372203" w:rsidRPr="00650FF3">
              <w:rPr>
                <w:rFonts w:hint="cs"/>
                <w:sz w:val="24"/>
                <w:szCs w:val="24"/>
                <w:rtl/>
              </w:rPr>
              <w:t>דחיקת יבוא מקביל</w:t>
            </w:r>
          </w:p>
        </w:tc>
        <w:tc>
          <w:tcPr>
            <w:tcW w:w="500" w:type="dxa"/>
            <w:tcMar>
              <w:top w:w="91" w:type="dxa"/>
              <w:left w:w="0" w:type="dxa"/>
              <w:bottom w:w="91" w:type="dxa"/>
              <w:right w:w="0" w:type="dxa"/>
            </w:tcMar>
          </w:tcPr>
          <w:p w:rsidR="00A10F1B" w:rsidRPr="00650FF3" w:rsidRDefault="00A10F1B" w:rsidP="003F5CE7">
            <w:pPr>
              <w:pStyle w:val="TableText"/>
              <w:rPr>
                <w:color w:val="auto"/>
                <w:sz w:val="24"/>
                <w:szCs w:val="24"/>
              </w:rPr>
            </w:pPr>
            <w:r w:rsidRPr="00650FF3">
              <w:rPr>
                <w:rFonts w:hint="cs"/>
                <w:color w:val="auto"/>
                <w:sz w:val="24"/>
                <w:szCs w:val="24"/>
                <w:rtl/>
              </w:rPr>
              <w:t>31ו.</w:t>
            </w:r>
          </w:p>
        </w:tc>
        <w:tc>
          <w:tcPr>
            <w:tcW w:w="6822" w:type="dxa"/>
            <w:tcMar>
              <w:top w:w="91" w:type="dxa"/>
              <w:left w:w="0" w:type="dxa"/>
              <w:bottom w:w="91" w:type="dxa"/>
              <w:right w:w="0" w:type="dxa"/>
            </w:tcMar>
          </w:tcPr>
          <w:p w:rsidR="00296C1A" w:rsidRPr="00650FF3" w:rsidRDefault="00610C65" w:rsidP="00494720">
            <w:pPr>
              <w:pStyle w:val="aa"/>
              <w:numPr>
                <w:ilvl w:val="0"/>
                <w:numId w:val="29"/>
              </w:numPr>
              <w:spacing w:line="360" w:lineRule="auto"/>
              <w:ind w:left="1440" w:hanging="1080"/>
              <w:jc w:val="both"/>
              <w:rPr>
                <w:szCs w:val="24"/>
              </w:rPr>
            </w:pPr>
            <w:r w:rsidRPr="00650FF3">
              <w:rPr>
                <w:rFonts w:hint="cs"/>
                <w:szCs w:val="24"/>
                <w:rtl/>
              </w:rPr>
              <w:t xml:space="preserve">ראה </w:t>
            </w:r>
            <w:r w:rsidR="00D41A4E" w:rsidRPr="00650FF3">
              <w:rPr>
                <w:rFonts w:hint="cs"/>
                <w:szCs w:val="24"/>
                <w:rtl/>
              </w:rPr>
              <w:t>הממונה כי קיים חשש</w:t>
            </w:r>
            <w:r w:rsidR="00985FD1" w:rsidRPr="00650FF3">
              <w:rPr>
                <w:rFonts w:hint="cs"/>
                <w:szCs w:val="24"/>
                <w:rtl/>
              </w:rPr>
              <w:t xml:space="preserve"> </w:t>
            </w:r>
            <w:r w:rsidR="000E5D81" w:rsidRPr="00650FF3">
              <w:rPr>
                <w:rFonts w:hint="cs"/>
                <w:szCs w:val="24"/>
                <w:rtl/>
              </w:rPr>
              <w:t xml:space="preserve">כי התחרות </w:t>
            </w:r>
            <w:r w:rsidR="000251B6" w:rsidRPr="00650FF3">
              <w:rPr>
                <w:rFonts w:hint="cs"/>
                <w:szCs w:val="24"/>
                <w:rtl/>
              </w:rPr>
              <w:t>שמקים</w:t>
            </w:r>
            <w:r w:rsidR="00985FD1" w:rsidRPr="00650FF3">
              <w:rPr>
                <w:rFonts w:hint="cs"/>
                <w:szCs w:val="24"/>
                <w:rtl/>
              </w:rPr>
              <w:t xml:space="preserve"> או עשוי להקים</w:t>
            </w:r>
            <w:r w:rsidR="00B23C1C" w:rsidRPr="00650FF3">
              <w:rPr>
                <w:rFonts w:hint="cs"/>
                <w:szCs w:val="24"/>
                <w:rtl/>
              </w:rPr>
              <w:t xml:space="preserve"> יבוא מקביל</w:t>
            </w:r>
            <w:r w:rsidR="00434420">
              <w:rPr>
                <w:rFonts w:hint="cs"/>
                <w:szCs w:val="24"/>
                <w:rtl/>
              </w:rPr>
              <w:t xml:space="preserve"> </w:t>
            </w:r>
            <w:r w:rsidR="00494720" w:rsidRPr="00650FF3">
              <w:rPr>
                <w:rFonts w:hint="cs"/>
                <w:szCs w:val="24"/>
                <w:rtl/>
              </w:rPr>
              <w:t xml:space="preserve"> תיפגע משמעותית </w:t>
            </w:r>
            <w:r w:rsidR="00434420">
              <w:rPr>
                <w:rFonts w:hint="cs"/>
                <w:szCs w:val="24"/>
                <w:rtl/>
              </w:rPr>
              <w:t>כתוצאה מהתנהגותו של יבואן מורשה או מקיומו</w:t>
            </w:r>
            <w:r w:rsidR="00D41A4E" w:rsidRPr="00650FF3">
              <w:rPr>
                <w:rFonts w:hint="cs"/>
                <w:szCs w:val="24"/>
                <w:rtl/>
              </w:rPr>
              <w:t xml:space="preserve">, רשאי הוא לתת הוראות ליבואן </w:t>
            </w:r>
            <w:r w:rsidR="008B5F84">
              <w:rPr>
                <w:rFonts w:hint="cs"/>
                <w:szCs w:val="24"/>
                <w:rtl/>
              </w:rPr>
              <w:t>ה</w:t>
            </w:r>
            <w:r w:rsidR="00397934" w:rsidRPr="00650FF3">
              <w:rPr>
                <w:rFonts w:hint="cs"/>
                <w:szCs w:val="24"/>
                <w:rtl/>
              </w:rPr>
              <w:t>מורשה</w:t>
            </w:r>
            <w:r w:rsidR="00296C1A" w:rsidRPr="00650FF3">
              <w:rPr>
                <w:rFonts w:hint="cs"/>
                <w:szCs w:val="24"/>
                <w:rtl/>
              </w:rPr>
              <w:t xml:space="preserve"> </w:t>
            </w:r>
            <w:r w:rsidR="00D41A4E" w:rsidRPr="00650FF3">
              <w:rPr>
                <w:rFonts w:hint="cs"/>
                <w:szCs w:val="24"/>
                <w:rtl/>
              </w:rPr>
              <w:t xml:space="preserve">בדבר צעדים שעליו לנקוט </w:t>
            </w:r>
            <w:r w:rsidR="00746C95">
              <w:rPr>
                <w:rFonts w:hint="cs"/>
                <w:szCs w:val="24"/>
                <w:rtl/>
              </w:rPr>
              <w:t>כדי</w:t>
            </w:r>
            <w:r w:rsidR="00D41A4E" w:rsidRPr="00650FF3">
              <w:rPr>
                <w:rFonts w:hint="cs"/>
                <w:szCs w:val="24"/>
                <w:rtl/>
              </w:rPr>
              <w:t xml:space="preserve"> למנוע </w:t>
            </w:r>
            <w:r w:rsidR="003E05DE" w:rsidRPr="00650FF3">
              <w:rPr>
                <w:rFonts w:hint="cs"/>
                <w:szCs w:val="24"/>
                <w:rtl/>
              </w:rPr>
              <w:t>את החשש לפגיעה משמעותית בתחרות</w:t>
            </w:r>
            <w:r w:rsidR="00D41A4E" w:rsidRPr="00650FF3">
              <w:rPr>
                <w:rFonts w:hint="cs"/>
                <w:szCs w:val="24"/>
                <w:rtl/>
              </w:rPr>
              <w:t xml:space="preserve">. </w:t>
            </w:r>
          </w:p>
          <w:p w:rsidR="00A10F1B" w:rsidRPr="00650FF3" w:rsidRDefault="00206CD6" w:rsidP="00296C1A">
            <w:pPr>
              <w:pStyle w:val="aa"/>
              <w:numPr>
                <w:ilvl w:val="0"/>
                <w:numId w:val="29"/>
              </w:numPr>
              <w:spacing w:line="360" w:lineRule="auto"/>
              <w:ind w:left="1440" w:hanging="1080"/>
              <w:jc w:val="both"/>
              <w:rPr>
                <w:szCs w:val="24"/>
                <w:rtl/>
              </w:rPr>
            </w:pPr>
            <w:r w:rsidRPr="00650FF3">
              <w:rPr>
                <w:rFonts w:hint="cs"/>
                <w:szCs w:val="24"/>
                <w:rtl/>
              </w:rPr>
              <w:t>הוראות סעיף 30(ג) עד (ח) יחולו, בשינויים המחויבים, לעניין הוראות הממונה לפי סעיף קטן (א</w:t>
            </w:r>
            <w:r w:rsidRPr="00650FF3">
              <w:rPr>
                <w:szCs w:val="24"/>
              </w:rPr>
              <w:t>(</w:t>
            </w:r>
            <w:r w:rsidRPr="00650FF3">
              <w:rPr>
                <w:rFonts w:hint="cs"/>
                <w:szCs w:val="24"/>
                <w:rtl/>
              </w:rPr>
              <w:t>.</w:t>
            </w:r>
          </w:p>
        </w:tc>
      </w:tr>
      <w:tr w:rsidR="009137ED" w:rsidRPr="00650FF3" w:rsidTr="001D586D">
        <w:trPr>
          <w:cantSplit/>
          <w:trHeight w:val="729"/>
        </w:trPr>
        <w:tc>
          <w:tcPr>
            <w:tcW w:w="1451" w:type="dxa"/>
            <w:tcMar>
              <w:top w:w="91" w:type="dxa"/>
              <w:left w:w="0" w:type="dxa"/>
              <w:bottom w:w="91" w:type="dxa"/>
              <w:right w:w="0" w:type="dxa"/>
            </w:tcMar>
          </w:tcPr>
          <w:p w:rsidR="009137ED" w:rsidRPr="00650FF3" w:rsidRDefault="009137ED" w:rsidP="003F5CE7">
            <w:pPr>
              <w:pStyle w:val="TableSideHeading"/>
              <w:rPr>
                <w:sz w:val="24"/>
                <w:szCs w:val="24"/>
                <w:rtl/>
              </w:rPr>
            </w:pPr>
            <w:r w:rsidRPr="00650FF3">
              <w:rPr>
                <w:rFonts w:hint="cs"/>
                <w:sz w:val="24"/>
                <w:szCs w:val="24"/>
                <w:rtl/>
              </w:rPr>
              <w:t>תיקון סעיף 47</w:t>
            </w:r>
          </w:p>
        </w:tc>
        <w:tc>
          <w:tcPr>
            <w:tcW w:w="278" w:type="dxa"/>
            <w:tcMar>
              <w:top w:w="91" w:type="dxa"/>
              <w:left w:w="0" w:type="dxa"/>
              <w:bottom w:w="91" w:type="dxa"/>
              <w:right w:w="0" w:type="dxa"/>
            </w:tcMar>
          </w:tcPr>
          <w:p w:rsidR="009137ED" w:rsidRPr="00650FF3" w:rsidRDefault="003A6047" w:rsidP="003F5CE7">
            <w:pPr>
              <w:pStyle w:val="TableText"/>
              <w:rPr>
                <w:sz w:val="24"/>
                <w:szCs w:val="24"/>
                <w:rtl/>
              </w:rPr>
            </w:pPr>
            <w:r>
              <w:rPr>
                <w:rFonts w:hint="cs"/>
                <w:sz w:val="24"/>
                <w:szCs w:val="24"/>
                <w:rtl/>
              </w:rPr>
              <w:t>2</w:t>
            </w:r>
            <w:r w:rsidR="009137ED" w:rsidRPr="00650FF3">
              <w:rPr>
                <w:rFonts w:hint="cs"/>
                <w:sz w:val="24"/>
                <w:szCs w:val="24"/>
                <w:rtl/>
              </w:rPr>
              <w:t>.</w:t>
            </w:r>
          </w:p>
        </w:tc>
        <w:tc>
          <w:tcPr>
            <w:tcW w:w="8310" w:type="dxa"/>
            <w:gridSpan w:val="3"/>
            <w:tcMar>
              <w:top w:w="91" w:type="dxa"/>
              <w:left w:w="0" w:type="dxa"/>
              <w:bottom w:w="91" w:type="dxa"/>
              <w:right w:w="0" w:type="dxa"/>
            </w:tcMar>
          </w:tcPr>
          <w:p w:rsidR="009137ED" w:rsidRPr="00650FF3" w:rsidRDefault="009137ED" w:rsidP="008C2862">
            <w:pPr>
              <w:pStyle w:val="aa"/>
              <w:spacing w:line="360" w:lineRule="auto"/>
              <w:ind w:left="0"/>
              <w:jc w:val="both"/>
              <w:rPr>
                <w:szCs w:val="24"/>
                <w:rtl/>
              </w:rPr>
            </w:pPr>
            <w:r w:rsidRPr="00650FF3">
              <w:rPr>
                <w:rFonts w:hint="cs"/>
                <w:szCs w:val="24"/>
                <w:rtl/>
              </w:rPr>
              <w:t xml:space="preserve">בסעיף 47(א) לחוק העיקרי, </w:t>
            </w:r>
            <w:r w:rsidR="00164743" w:rsidRPr="00650FF3">
              <w:rPr>
                <w:rFonts w:hint="cs"/>
                <w:szCs w:val="24"/>
                <w:rtl/>
              </w:rPr>
              <w:t>ב</w:t>
            </w:r>
            <w:r w:rsidRPr="00650FF3">
              <w:rPr>
                <w:rFonts w:hint="cs"/>
                <w:szCs w:val="24"/>
                <w:rtl/>
              </w:rPr>
              <w:t>פסקה (</w:t>
            </w:r>
            <w:r w:rsidR="00164743" w:rsidRPr="00650FF3">
              <w:rPr>
                <w:rFonts w:hint="cs"/>
                <w:szCs w:val="24"/>
                <w:rtl/>
              </w:rPr>
              <w:t>5), במקום "הוראה לפי סעיפים 30 או 31ג" יבוא "הוראה לפי סעיפים 30, 31ג או 31ו'</w:t>
            </w:r>
            <w:r w:rsidR="008C2862" w:rsidRPr="00650FF3">
              <w:rPr>
                <w:rFonts w:hint="cs"/>
                <w:szCs w:val="24"/>
                <w:rtl/>
              </w:rPr>
              <w:t>"</w:t>
            </w:r>
            <w:r w:rsidR="00164743" w:rsidRPr="00650FF3">
              <w:rPr>
                <w:rFonts w:hint="cs"/>
                <w:szCs w:val="24"/>
                <w:rtl/>
              </w:rPr>
              <w:t>.</w:t>
            </w:r>
            <w:r w:rsidR="008C2862" w:rsidRPr="00650FF3">
              <w:rPr>
                <w:rFonts w:hint="cs"/>
                <w:szCs w:val="24"/>
                <w:rtl/>
              </w:rPr>
              <w:t xml:space="preserve"> </w:t>
            </w:r>
            <w:r w:rsidR="00164743" w:rsidRPr="00650FF3">
              <w:rPr>
                <w:rFonts w:hint="cs"/>
                <w:szCs w:val="24"/>
                <w:rtl/>
              </w:rPr>
              <w:t xml:space="preserve"> </w:t>
            </w:r>
          </w:p>
        </w:tc>
      </w:tr>
      <w:tr w:rsidR="009137ED" w:rsidRPr="00650FF3" w:rsidTr="001D586D">
        <w:trPr>
          <w:cantSplit/>
          <w:trHeight w:val="729"/>
        </w:trPr>
        <w:tc>
          <w:tcPr>
            <w:tcW w:w="1451" w:type="dxa"/>
            <w:tcMar>
              <w:top w:w="91" w:type="dxa"/>
              <w:left w:w="0" w:type="dxa"/>
              <w:bottom w:w="91" w:type="dxa"/>
              <w:right w:w="0" w:type="dxa"/>
            </w:tcMar>
          </w:tcPr>
          <w:p w:rsidR="009137ED" w:rsidRPr="00650FF3" w:rsidRDefault="009137ED" w:rsidP="003F5CE7">
            <w:pPr>
              <w:pStyle w:val="TableSideHeading"/>
              <w:rPr>
                <w:sz w:val="24"/>
                <w:szCs w:val="24"/>
                <w:rtl/>
              </w:rPr>
            </w:pPr>
            <w:r w:rsidRPr="00650FF3">
              <w:rPr>
                <w:rFonts w:hint="cs"/>
                <w:sz w:val="24"/>
                <w:szCs w:val="24"/>
                <w:rtl/>
              </w:rPr>
              <w:t>תיקון סעיף 50ד</w:t>
            </w:r>
          </w:p>
        </w:tc>
        <w:tc>
          <w:tcPr>
            <w:tcW w:w="278" w:type="dxa"/>
            <w:tcMar>
              <w:top w:w="91" w:type="dxa"/>
              <w:left w:w="0" w:type="dxa"/>
              <w:bottom w:w="91" w:type="dxa"/>
              <w:right w:w="0" w:type="dxa"/>
            </w:tcMar>
          </w:tcPr>
          <w:p w:rsidR="009137ED" w:rsidRPr="00650FF3" w:rsidRDefault="003A6047" w:rsidP="003F5CE7">
            <w:pPr>
              <w:pStyle w:val="TableText"/>
              <w:rPr>
                <w:sz w:val="24"/>
                <w:szCs w:val="24"/>
                <w:rtl/>
              </w:rPr>
            </w:pPr>
            <w:r>
              <w:rPr>
                <w:rFonts w:hint="cs"/>
                <w:sz w:val="24"/>
                <w:szCs w:val="24"/>
                <w:rtl/>
              </w:rPr>
              <w:t>3</w:t>
            </w:r>
            <w:r w:rsidR="009137ED" w:rsidRPr="00650FF3">
              <w:rPr>
                <w:rFonts w:hint="cs"/>
                <w:sz w:val="24"/>
                <w:szCs w:val="24"/>
                <w:rtl/>
              </w:rPr>
              <w:t>.</w:t>
            </w:r>
          </w:p>
        </w:tc>
        <w:tc>
          <w:tcPr>
            <w:tcW w:w="8310" w:type="dxa"/>
            <w:gridSpan w:val="3"/>
            <w:tcMar>
              <w:top w:w="91" w:type="dxa"/>
              <w:left w:w="0" w:type="dxa"/>
              <w:bottom w:w="91" w:type="dxa"/>
              <w:right w:w="0" w:type="dxa"/>
            </w:tcMar>
          </w:tcPr>
          <w:p w:rsidR="009137ED" w:rsidRPr="00650FF3" w:rsidRDefault="009137ED" w:rsidP="00A5074E">
            <w:pPr>
              <w:pStyle w:val="aa"/>
              <w:spacing w:line="360" w:lineRule="auto"/>
              <w:ind w:left="0"/>
              <w:jc w:val="both"/>
              <w:rPr>
                <w:szCs w:val="24"/>
                <w:rtl/>
              </w:rPr>
            </w:pPr>
            <w:r w:rsidRPr="00650FF3">
              <w:rPr>
                <w:rFonts w:hint="cs"/>
                <w:szCs w:val="24"/>
                <w:rtl/>
              </w:rPr>
              <w:t>בסעיף 50ד לחוק העיקרי אחרי פסקה (</w:t>
            </w:r>
            <w:r w:rsidR="00A5074E" w:rsidRPr="00650FF3">
              <w:rPr>
                <w:rFonts w:hint="cs"/>
                <w:szCs w:val="24"/>
                <w:rtl/>
              </w:rPr>
              <w:t>5</w:t>
            </w:r>
            <w:r w:rsidRPr="00650FF3">
              <w:rPr>
                <w:rFonts w:hint="cs"/>
                <w:szCs w:val="24"/>
                <w:rtl/>
              </w:rPr>
              <w:t>) יבוא:</w:t>
            </w:r>
          </w:p>
        </w:tc>
      </w:tr>
      <w:tr w:rsidR="009137ED" w:rsidRPr="00650FF3" w:rsidTr="001D586D">
        <w:trPr>
          <w:cantSplit/>
          <w:trHeight w:val="729"/>
        </w:trPr>
        <w:tc>
          <w:tcPr>
            <w:tcW w:w="1451" w:type="dxa"/>
            <w:tcMar>
              <w:top w:w="91" w:type="dxa"/>
              <w:left w:w="0" w:type="dxa"/>
              <w:bottom w:w="91" w:type="dxa"/>
              <w:right w:w="0" w:type="dxa"/>
            </w:tcMar>
          </w:tcPr>
          <w:p w:rsidR="009137ED" w:rsidRPr="00650FF3" w:rsidRDefault="009137ED" w:rsidP="003F5CE7">
            <w:pPr>
              <w:pStyle w:val="TableSideHeading"/>
              <w:rPr>
                <w:sz w:val="24"/>
                <w:szCs w:val="24"/>
                <w:rtl/>
              </w:rPr>
            </w:pPr>
          </w:p>
        </w:tc>
        <w:tc>
          <w:tcPr>
            <w:tcW w:w="278" w:type="dxa"/>
            <w:tcMar>
              <w:top w:w="91" w:type="dxa"/>
              <w:left w:w="0" w:type="dxa"/>
              <w:bottom w:w="91" w:type="dxa"/>
              <w:right w:w="0" w:type="dxa"/>
            </w:tcMar>
          </w:tcPr>
          <w:p w:rsidR="009137ED" w:rsidRPr="00650FF3" w:rsidRDefault="009137ED" w:rsidP="003F5CE7">
            <w:pPr>
              <w:pStyle w:val="TableText"/>
              <w:rPr>
                <w:sz w:val="24"/>
                <w:szCs w:val="24"/>
                <w:rtl/>
              </w:rPr>
            </w:pPr>
          </w:p>
        </w:tc>
        <w:tc>
          <w:tcPr>
            <w:tcW w:w="8310" w:type="dxa"/>
            <w:gridSpan w:val="3"/>
            <w:tcMar>
              <w:top w:w="91" w:type="dxa"/>
              <w:left w:w="0" w:type="dxa"/>
              <w:bottom w:w="91" w:type="dxa"/>
              <w:right w:w="0" w:type="dxa"/>
            </w:tcMar>
          </w:tcPr>
          <w:p w:rsidR="009137ED" w:rsidRPr="00650FF3" w:rsidRDefault="002F07AC" w:rsidP="001C7E91">
            <w:pPr>
              <w:pStyle w:val="aa"/>
              <w:spacing w:line="360" w:lineRule="auto"/>
              <w:ind w:left="0"/>
              <w:jc w:val="both"/>
              <w:rPr>
                <w:szCs w:val="24"/>
                <w:rtl/>
              </w:rPr>
            </w:pPr>
            <w:r w:rsidRPr="00650FF3">
              <w:rPr>
                <w:rFonts w:hint="cs"/>
                <w:szCs w:val="24"/>
                <w:rtl/>
              </w:rPr>
              <w:t>"(</w:t>
            </w:r>
            <w:r w:rsidR="00A5074E" w:rsidRPr="00650FF3">
              <w:rPr>
                <w:rFonts w:hint="cs"/>
                <w:szCs w:val="24"/>
                <w:rtl/>
              </w:rPr>
              <w:t>5א</w:t>
            </w:r>
            <w:r w:rsidRPr="00650FF3">
              <w:rPr>
                <w:rFonts w:hint="cs"/>
                <w:szCs w:val="24"/>
                <w:rtl/>
              </w:rPr>
              <w:t xml:space="preserve">) </w:t>
            </w:r>
            <w:r w:rsidR="001C5CF5" w:rsidRPr="00650FF3">
              <w:rPr>
                <w:rFonts w:hint="cs"/>
                <w:szCs w:val="24"/>
                <w:rtl/>
              </w:rPr>
              <w:t>הפר הוראה שנתן הממונה ל</w:t>
            </w:r>
            <w:r w:rsidR="001C7E91" w:rsidRPr="00650FF3">
              <w:rPr>
                <w:rFonts w:hint="cs"/>
                <w:szCs w:val="24"/>
                <w:rtl/>
              </w:rPr>
              <w:t>מניעת חשש לדחיקת</w:t>
            </w:r>
            <w:r w:rsidR="001C5CF5" w:rsidRPr="00650FF3">
              <w:rPr>
                <w:rFonts w:hint="cs"/>
                <w:szCs w:val="24"/>
                <w:rtl/>
              </w:rPr>
              <w:t xml:space="preserve"> יבוא מקביל לפי סעיף 31ו</w:t>
            </w:r>
            <w:r w:rsidR="000B64AF" w:rsidRPr="00650FF3">
              <w:rPr>
                <w:rFonts w:hint="cs"/>
                <w:szCs w:val="24"/>
                <w:rtl/>
              </w:rPr>
              <w:t>."</w:t>
            </w:r>
          </w:p>
        </w:tc>
      </w:tr>
      <w:tr w:rsidR="001804B0" w:rsidRPr="00650FF3" w:rsidTr="001D586D">
        <w:trPr>
          <w:cantSplit/>
          <w:trHeight w:val="729"/>
        </w:trPr>
        <w:tc>
          <w:tcPr>
            <w:tcW w:w="1451" w:type="dxa"/>
            <w:tcMar>
              <w:top w:w="91" w:type="dxa"/>
              <w:left w:w="0" w:type="dxa"/>
              <w:bottom w:w="91" w:type="dxa"/>
              <w:right w:w="0" w:type="dxa"/>
            </w:tcMar>
          </w:tcPr>
          <w:p w:rsidR="001804B0" w:rsidRPr="00650FF3" w:rsidRDefault="001804B0" w:rsidP="003F5CE7">
            <w:pPr>
              <w:pStyle w:val="TableSideHeading"/>
              <w:rPr>
                <w:sz w:val="24"/>
                <w:szCs w:val="24"/>
                <w:rtl/>
              </w:rPr>
            </w:pPr>
            <w:r>
              <w:rPr>
                <w:rFonts w:hint="cs"/>
                <w:sz w:val="24"/>
                <w:szCs w:val="24"/>
                <w:rtl/>
              </w:rPr>
              <w:lastRenderedPageBreak/>
              <w:t xml:space="preserve">הוראת שעה </w:t>
            </w:r>
          </w:p>
        </w:tc>
        <w:tc>
          <w:tcPr>
            <w:tcW w:w="278" w:type="dxa"/>
            <w:tcMar>
              <w:top w:w="91" w:type="dxa"/>
              <w:left w:w="0" w:type="dxa"/>
              <w:bottom w:w="91" w:type="dxa"/>
              <w:right w:w="0" w:type="dxa"/>
            </w:tcMar>
          </w:tcPr>
          <w:p w:rsidR="001804B0" w:rsidRPr="00650FF3" w:rsidRDefault="003A6047" w:rsidP="003F5CE7">
            <w:pPr>
              <w:pStyle w:val="TableText"/>
              <w:rPr>
                <w:sz w:val="24"/>
                <w:szCs w:val="24"/>
                <w:rtl/>
              </w:rPr>
            </w:pPr>
            <w:r>
              <w:rPr>
                <w:rFonts w:hint="cs"/>
                <w:sz w:val="24"/>
                <w:szCs w:val="24"/>
                <w:rtl/>
              </w:rPr>
              <w:t>4</w:t>
            </w:r>
            <w:r w:rsidR="001804B0">
              <w:rPr>
                <w:rFonts w:hint="cs"/>
                <w:sz w:val="24"/>
                <w:szCs w:val="24"/>
                <w:rtl/>
              </w:rPr>
              <w:t xml:space="preserve">. </w:t>
            </w:r>
          </w:p>
        </w:tc>
        <w:tc>
          <w:tcPr>
            <w:tcW w:w="8310" w:type="dxa"/>
            <w:gridSpan w:val="3"/>
            <w:tcMar>
              <w:top w:w="91" w:type="dxa"/>
              <w:left w:w="0" w:type="dxa"/>
              <w:bottom w:w="91" w:type="dxa"/>
              <w:right w:w="0" w:type="dxa"/>
            </w:tcMar>
          </w:tcPr>
          <w:p w:rsidR="001804B0" w:rsidRPr="005255D0" w:rsidRDefault="005255D0" w:rsidP="002E4C70">
            <w:pPr>
              <w:pStyle w:val="TableSideHeading"/>
              <w:rPr>
                <w:szCs w:val="24"/>
                <w:rtl/>
              </w:rPr>
            </w:pPr>
            <w:r w:rsidRPr="005255D0">
              <w:rPr>
                <w:sz w:val="24"/>
                <w:szCs w:val="24"/>
                <w:rtl/>
              </w:rPr>
              <w:t>הוראות סעי</w:t>
            </w:r>
            <w:r w:rsidR="00E93C0A">
              <w:rPr>
                <w:rFonts w:hint="cs"/>
                <w:sz w:val="24"/>
                <w:szCs w:val="24"/>
                <w:rtl/>
              </w:rPr>
              <w:t>פים 1-</w:t>
            </w:r>
            <w:r w:rsidR="003A6047">
              <w:rPr>
                <w:rFonts w:hint="cs"/>
                <w:sz w:val="24"/>
                <w:szCs w:val="24"/>
                <w:rtl/>
              </w:rPr>
              <w:t>3</w:t>
            </w:r>
            <w:r w:rsidR="00402CAB">
              <w:rPr>
                <w:sz w:val="24"/>
                <w:szCs w:val="24"/>
                <w:rtl/>
              </w:rPr>
              <w:t xml:space="preserve"> יעמדו בתוקפן למשך </w:t>
            </w:r>
            <w:r w:rsidR="00402CAB">
              <w:rPr>
                <w:rFonts w:hint="cs"/>
                <w:sz w:val="24"/>
                <w:szCs w:val="24"/>
                <w:rtl/>
              </w:rPr>
              <w:t xml:space="preserve">שלוש </w:t>
            </w:r>
            <w:r w:rsidRPr="005255D0">
              <w:rPr>
                <w:sz w:val="24"/>
                <w:szCs w:val="24"/>
                <w:rtl/>
              </w:rPr>
              <w:t>שנים מיום פרסומו של חוק זה; השר רשאי, בהמלצת הממונה ובאישור ועדת הכלכלה של הכנסת, להאריך את תוקף הוראות סעי</w:t>
            </w:r>
            <w:r w:rsidR="00E93C0A">
              <w:rPr>
                <w:rFonts w:hint="cs"/>
                <w:sz w:val="24"/>
                <w:szCs w:val="24"/>
                <w:rtl/>
              </w:rPr>
              <w:t>פים 1-</w:t>
            </w:r>
            <w:r w:rsidR="002E4C70">
              <w:rPr>
                <w:rFonts w:hint="cs"/>
                <w:sz w:val="24"/>
                <w:szCs w:val="24"/>
                <w:rtl/>
              </w:rPr>
              <w:t>3</w:t>
            </w:r>
            <w:r w:rsidR="00402CAB">
              <w:rPr>
                <w:sz w:val="24"/>
                <w:szCs w:val="24"/>
                <w:rtl/>
              </w:rPr>
              <w:t xml:space="preserve"> בתקופה של עד</w:t>
            </w:r>
            <w:r w:rsidR="00402CAB">
              <w:rPr>
                <w:rFonts w:hint="cs"/>
                <w:sz w:val="24"/>
                <w:szCs w:val="24"/>
                <w:rtl/>
              </w:rPr>
              <w:t xml:space="preserve"> שלוש </w:t>
            </w:r>
            <w:r w:rsidRPr="005255D0">
              <w:rPr>
                <w:sz w:val="24"/>
                <w:szCs w:val="24"/>
                <w:rtl/>
              </w:rPr>
              <w:t>שנים נוספות.</w:t>
            </w:r>
            <w:r w:rsidRPr="0098296D">
              <w:rPr>
                <w:rFonts w:asciiTheme="minorBidi" w:eastAsia="Times New Roman" w:hAnsiTheme="minorBidi"/>
                <w:color w:val="auto"/>
                <w:sz w:val="26"/>
                <w:rtl/>
                <w:lang w:eastAsia="en-US"/>
              </w:rPr>
              <w:t xml:space="preserve">  </w:t>
            </w:r>
          </w:p>
        </w:tc>
      </w:tr>
    </w:tbl>
    <w:p w:rsidR="00093AEA" w:rsidRDefault="00402CAB" w:rsidP="00BE0A90">
      <w:pPr>
        <w:pStyle w:val="HeadHatzaotHok"/>
        <w:keepNext w:val="0"/>
        <w:keepLines w:val="0"/>
        <w:pageBreakBefore/>
        <w:tabs>
          <w:tab w:val="left" w:pos="720"/>
          <w:tab w:val="left" w:pos="1440"/>
          <w:tab w:val="left" w:pos="2160"/>
          <w:tab w:val="left" w:pos="2880"/>
          <w:tab w:val="left" w:pos="3600"/>
          <w:tab w:val="left" w:pos="4320"/>
          <w:tab w:val="left" w:pos="5040"/>
          <w:tab w:val="left" w:pos="5472"/>
        </w:tabs>
        <w:jc w:val="both"/>
        <w:rPr>
          <w:sz w:val="24"/>
          <w:szCs w:val="24"/>
          <w:rtl/>
        </w:rPr>
      </w:pPr>
      <w:r>
        <w:rPr>
          <w:rFonts w:hint="cs"/>
          <w:sz w:val="24"/>
          <w:szCs w:val="24"/>
          <w:rtl/>
        </w:rPr>
        <w:lastRenderedPageBreak/>
        <w:t>נספח:</w:t>
      </w:r>
    </w:p>
    <w:p w:rsidR="00402CAB" w:rsidRPr="00402CAB" w:rsidRDefault="00402CAB" w:rsidP="00402CAB">
      <w:pPr>
        <w:pStyle w:val="HeadHatzaotHok"/>
        <w:keepNext w:val="0"/>
        <w:keepLines w:val="0"/>
        <w:tabs>
          <w:tab w:val="left" w:pos="720"/>
          <w:tab w:val="left" w:pos="1440"/>
          <w:tab w:val="left" w:pos="2160"/>
          <w:tab w:val="left" w:pos="2880"/>
          <w:tab w:val="left" w:pos="3600"/>
          <w:tab w:val="left" w:pos="4320"/>
          <w:tab w:val="left" w:pos="5040"/>
          <w:tab w:val="left" w:pos="5472"/>
        </w:tabs>
        <w:rPr>
          <w:sz w:val="24"/>
          <w:szCs w:val="24"/>
          <w:rtl/>
        </w:rPr>
      </w:pPr>
      <w:r>
        <w:rPr>
          <w:rFonts w:hint="cs"/>
          <w:sz w:val="24"/>
          <w:szCs w:val="24"/>
          <w:rtl/>
        </w:rPr>
        <w:t>פטור מחובת עריכת דו"ח השפעת רגולציה (</w:t>
      </w:r>
      <w:r>
        <w:rPr>
          <w:sz w:val="24"/>
          <w:szCs w:val="24"/>
        </w:rPr>
        <w:t>RIA</w:t>
      </w:r>
      <w:r>
        <w:rPr>
          <w:rFonts w:hint="cs"/>
          <w:sz w:val="24"/>
          <w:szCs w:val="24"/>
          <w:rtl/>
        </w:rPr>
        <w:t>)</w:t>
      </w:r>
    </w:p>
    <w:p w:rsidR="00226A94" w:rsidRDefault="00D6267D" w:rsidP="00D6267D">
      <w:pPr>
        <w:pStyle w:val="HeadHatzaotHok"/>
        <w:keepNext w:val="0"/>
        <w:keepLines w:val="0"/>
        <w:tabs>
          <w:tab w:val="left" w:pos="720"/>
          <w:tab w:val="left" w:pos="1440"/>
          <w:tab w:val="left" w:pos="2069"/>
          <w:tab w:val="left" w:pos="2880"/>
          <w:tab w:val="left" w:pos="3600"/>
          <w:tab w:val="left" w:pos="4320"/>
          <w:tab w:val="left" w:pos="5040"/>
          <w:tab w:val="left" w:pos="5472"/>
        </w:tabs>
        <w:jc w:val="both"/>
        <w:rPr>
          <w:b w:val="0"/>
          <w:bCs w:val="0"/>
          <w:sz w:val="24"/>
          <w:szCs w:val="24"/>
          <w:rtl/>
        </w:rPr>
      </w:pPr>
      <w:r>
        <w:rPr>
          <w:rFonts w:hint="cs"/>
          <w:b w:val="0"/>
          <w:bCs w:val="0"/>
          <w:sz w:val="24"/>
          <w:szCs w:val="24"/>
          <w:rtl/>
        </w:rPr>
        <w:t xml:space="preserve">תזכיר החוק שלעיל </w:t>
      </w:r>
      <w:r w:rsidR="009573F3">
        <w:rPr>
          <w:rFonts w:hint="cs"/>
          <w:b w:val="0"/>
          <w:bCs w:val="0"/>
          <w:sz w:val="24"/>
          <w:szCs w:val="24"/>
          <w:rtl/>
        </w:rPr>
        <w:t xml:space="preserve">הוא פרסום מחודש ומתוקן של </w:t>
      </w:r>
      <w:r w:rsidRPr="00D6267D">
        <w:rPr>
          <w:rFonts w:hint="cs"/>
          <w:b w:val="0"/>
          <w:bCs w:val="0"/>
          <w:sz w:val="24"/>
          <w:szCs w:val="24"/>
          <w:rtl/>
        </w:rPr>
        <w:t>תזכיר</w:t>
      </w:r>
      <w:r w:rsidRPr="00D6267D">
        <w:rPr>
          <w:b w:val="0"/>
          <w:bCs w:val="0"/>
          <w:sz w:val="24"/>
          <w:szCs w:val="24"/>
          <w:rtl/>
        </w:rPr>
        <w:t xml:space="preserve"> </w:t>
      </w:r>
      <w:r w:rsidRPr="00D6267D">
        <w:rPr>
          <w:rFonts w:hint="cs"/>
          <w:b w:val="0"/>
          <w:bCs w:val="0"/>
          <w:sz w:val="24"/>
          <w:szCs w:val="24"/>
          <w:rtl/>
        </w:rPr>
        <w:t>חוק</w:t>
      </w:r>
      <w:r w:rsidRPr="00D6267D">
        <w:rPr>
          <w:b w:val="0"/>
          <w:bCs w:val="0"/>
          <w:sz w:val="24"/>
          <w:szCs w:val="24"/>
          <w:rtl/>
        </w:rPr>
        <w:t xml:space="preserve"> </w:t>
      </w:r>
      <w:r w:rsidRPr="00D6267D">
        <w:rPr>
          <w:rFonts w:hint="cs"/>
          <w:b w:val="0"/>
          <w:bCs w:val="0"/>
          <w:sz w:val="24"/>
          <w:szCs w:val="24"/>
          <w:rtl/>
        </w:rPr>
        <w:t>ההגבלים</w:t>
      </w:r>
      <w:r w:rsidRPr="00D6267D">
        <w:rPr>
          <w:b w:val="0"/>
          <w:bCs w:val="0"/>
          <w:sz w:val="24"/>
          <w:szCs w:val="24"/>
          <w:rtl/>
        </w:rPr>
        <w:t xml:space="preserve"> </w:t>
      </w:r>
      <w:r w:rsidRPr="00D6267D">
        <w:rPr>
          <w:rFonts w:hint="cs"/>
          <w:b w:val="0"/>
          <w:bCs w:val="0"/>
          <w:sz w:val="24"/>
          <w:szCs w:val="24"/>
          <w:rtl/>
        </w:rPr>
        <w:t>העסקיים</w:t>
      </w:r>
      <w:r w:rsidRPr="00D6267D">
        <w:rPr>
          <w:b w:val="0"/>
          <w:bCs w:val="0"/>
          <w:sz w:val="24"/>
          <w:szCs w:val="24"/>
          <w:rtl/>
        </w:rPr>
        <w:t xml:space="preserve"> (</w:t>
      </w:r>
      <w:r w:rsidRPr="00D6267D">
        <w:rPr>
          <w:rFonts w:hint="cs"/>
          <w:b w:val="0"/>
          <w:bCs w:val="0"/>
          <w:sz w:val="24"/>
          <w:szCs w:val="24"/>
          <w:rtl/>
        </w:rPr>
        <w:t>תיקון</w:t>
      </w:r>
      <w:r w:rsidRPr="00D6267D">
        <w:rPr>
          <w:b w:val="0"/>
          <w:bCs w:val="0"/>
          <w:sz w:val="24"/>
          <w:szCs w:val="24"/>
          <w:rtl/>
        </w:rPr>
        <w:t xml:space="preserve"> </w:t>
      </w:r>
      <w:r w:rsidRPr="00D6267D">
        <w:rPr>
          <w:rFonts w:hint="cs"/>
          <w:b w:val="0"/>
          <w:bCs w:val="0"/>
          <w:sz w:val="24"/>
          <w:szCs w:val="24"/>
          <w:rtl/>
        </w:rPr>
        <w:t>מס</w:t>
      </w:r>
      <w:r w:rsidRPr="00D6267D">
        <w:rPr>
          <w:b w:val="0"/>
          <w:bCs w:val="0"/>
          <w:sz w:val="24"/>
          <w:szCs w:val="24"/>
          <w:rtl/>
        </w:rPr>
        <w:t>'</w:t>
      </w:r>
      <w:r w:rsidRPr="00D6267D">
        <w:rPr>
          <w:rFonts w:hint="cs"/>
          <w:b w:val="0"/>
          <w:bCs w:val="0"/>
          <w:sz w:val="24"/>
          <w:szCs w:val="24"/>
          <w:rtl/>
        </w:rPr>
        <w:t>...) (הסרת חסמים בתחום היבוא</w:t>
      </w:r>
      <w:r w:rsidR="009573F3">
        <w:rPr>
          <w:rFonts w:hint="cs"/>
          <w:b w:val="0"/>
          <w:bCs w:val="0"/>
          <w:sz w:val="24"/>
          <w:szCs w:val="24"/>
          <w:rtl/>
        </w:rPr>
        <w:t>)</w:t>
      </w:r>
      <w:r w:rsidRPr="00D6267D">
        <w:rPr>
          <w:b w:val="0"/>
          <w:bCs w:val="0"/>
          <w:sz w:val="24"/>
          <w:szCs w:val="24"/>
          <w:rtl/>
        </w:rPr>
        <w:t xml:space="preserve">, </w:t>
      </w:r>
      <w:r w:rsidRPr="00D6267D">
        <w:rPr>
          <w:rFonts w:hint="cs"/>
          <w:b w:val="0"/>
          <w:bCs w:val="0"/>
          <w:sz w:val="24"/>
          <w:szCs w:val="24"/>
          <w:rtl/>
        </w:rPr>
        <w:t>התשע"</w:t>
      </w:r>
      <w:r>
        <w:rPr>
          <w:rFonts w:hint="cs"/>
          <w:b w:val="0"/>
          <w:bCs w:val="0"/>
          <w:sz w:val="24"/>
          <w:szCs w:val="24"/>
          <w:rtl/>
        </w:rPr>
        <w:t>ה</w:t>
      </w:r>
      <w:r w:rsidRPr="00D6267D">
        <w:rPr>
          <w:rFonts w:hint="eastAsia"/>
          <w:b w:val="0"/>
          <w:bCs w:val="0"/>
          <w:sz w:val="24"/>
          <w:szCs w:val="24"/>
          <w:rtl/>
        </w:rPr>
        <w:t>–</w:t>
      </w:r>
      <w:r>
        <w:rPr>
          <w:rFonts w:hint="cs"/>
          <w:b w:val="0"/>
          <w:bCs w:val="0"/>
          <w:sz w:val="24"/>
          <w:szCs w:val="24"/>
          <w:rtl/>
        </w:rPr>
        <w:t xml:space="preserve">2015 אשר פורסם ביום 31.3.15, </w:t>
      </w:r>
      <w:r w:rsidR="00BE0A90">
        <w:rPr>
          <w:rFonts w:hint="cs"/>
          <w:b w:val="0"/>
          <w:bCs w:val="0"/>
          <w:sz w:val="24"/>
          <w:szCs w:val="24"/>
          <w:rtl/>
        </w:rPr>
        <w:t>ו</w:t>
      </w:r>
      <w:r>
        <w:rPr>
          <w:rFonts w:hint="cs"/>
          <w:b w:val="0"/>
          <w:bCs w:val="0"/>
          <w:sz w:val="24"/>
          <w:szCs w:val="24"/>
          <w:rtl/>
        </w:rPr>
        <w:t xml:space="preserve">אשר נוסחו מצוי באתר רשות ההגבלים עסקיים (פרסום מספר 50076).  </w:t>
      </w:r>
    </w:p>
    <w:p w:rsidR="00D6267D" w:rsidRDefault="00D6267D" w:rsidP="009573F3">
      <w:pPr>
        <w:pStyle w:val="HeadHatzaotHok"/>
        <w:keepNext w:val="0"/>
        <w:keepLines w:val="0"/>
        <w:tabs>
          <w:tab w:val="left" w:pos="720"/>
          <w:tab w:val="left" w:pos="1440"/>
          <w:tab w:val="left" w:pos="2069"/>
          <w:tab w:val="left" w:pos="2880"/>
          <w:tab w:val="left" w:pos="3600"/>
          <w:tab w:val="left" w:pos="4320"/>
          <w:tab w:val="left" w:pos="5040"/>
          <w:tab w:val="left" w:pos="5472"/>
        </w:tabs>
        <w:jc w:val="both"/>
        <w:rPr>
          <w:b w:val="0"/>
          <w:bCs w:val="0"/>
          <w:sz w:val="24"/>
          <w:szCs w:val="24"/>
          <w:rtl/>
        </w:rPr>
      </w:pPr>
      <w:r>
        <w:rPr>
          <w:rFonts w:hint="cs"/>
          <w:b w:val="0"/>
          <w:bCs w:val="0"/>
          <w:sz w:val="24"/>
          <w:szCs w:val="24"/>
          <w:rtl/>
        </w:rPr>
        <w:t>בהתאם לסעיף 3(י) להחלטת ממשלה מספר 2118 מיום 22.10.14, החובה לפרסום דו"ח הערכת רגולציה בקשר להצעת חוק ממשלתית עם פרסום תזכיר החוק</w:t>
      </w:r>
      <w:r w:rsidR="00236BC6">
        <w:rPr>
          <w:rFonts w:hint="cs"/>
          <w:b w:val="0"/>
          <w:bCs w:val="0"/>
          <w:sz w:val="24"/>
          <w:szCs w:val="24"/>
          <w:rtl/>
        </w:rPr>
        <w:t xml:space="preserve"> חלה מיום 1 בינואר 2016. מכיוון שהמדובר בתזכיר שפורסם </w:t>
      </w:r>
      <w:r w:rsidR="009573F3">
        <w:rPr>
          <w:rFonts w:hint="cs"/>
          <w:b w:val="0"/>
          <w:bCs w:val="0"/>
          <w:sz w:val="24"/>
          <w:szCs w:val="24"/>
          <w:rtl/>
        </w:rPr>
        <w:t>במקור לפני מועד זה, ואין בת</w:t>
      </w:r>
      <w:r w:rsidR="00BE0A90">
        <w:rPr>
          <w:rFonts w:hint="cs"/>
          <w:b w:val="0"/>
          <w:bCs w:val="0"/>
          <w:sz w:val="24"/>
          <w:szCs w:val="24"/>
          <w:rtl/>
        </w:rPr>
        <w:t xml:space="preserve">זכיר המתוקן כדי להעלות משמעותית </w:t>
      </w:r>
      <w:r w:rsidR="009573F3">
        <w:rPr>
          <w:rFonts w:hint="cs"/>
          <w:b w:val="0"/>
          <w:bCs w:val="0"/>
          <w:sz w:val="24"/>
          <w:szCs w:val="24"/>
          <w:rtl/>
        </w:rPr>
        <w:t>את הנטל הרגולטורי על יבואנים מורשים לעומת התזכיר המקורי</w:t>
      </w:r>
      <w:r w:rsidR="009573F3">
        <w:rPr>
          <w:rStyle w:val="a5"/>
          <w:b w:val="0"/>
          <w:bCs w:val="0"/>
          <w:sz w:val="24"/>
          <w:szCs w:val="24"/>
          <w:rtl/>
        </w:rPr>
        <w:footnoteReference w:id="2"/>
      </w:r>
      <w:r w:rsidR="009573F3">
        <w:rPr>
          <w:rFonts w:hint="cs"/>
          <w:b w:val="0"/>
          <w:bCs w:val="0"/>
          <w:sz w:val="24"/>
          <w:szCs w:val="24"/>
          <w:rtl/>
        </w:rPr>
        <w:t xml:space="preserve">, אין חובה לפרסם דו"ח כאמור. </w:t>
      </w:r>
    </w:p>
    <w:p w:rsidR="009573F3" w:rsidRDefault="009573F3" w:rsidP="0077470D">
      <w:pPr>
        <w:pStyle w:val="HeadHatzaotHok"/>
        <w:keepNext w:val="0"/>
        <w:keepLines w:val="0"/>
        <w:tabs>
          <w:tab w:val="left" w:pos="720"/>
          <w:tab w:val="left" w:pos="1440"/>
          <w:tab w:val="left" w:pos="2069"/>
          <w:tab w:val="left" w:pos="2880"/>
          <w:tab w:val="left" w:pos="3600"/>
          <w:tab w:val="left" w:pos="4320"/>
          <w:tab w:val="left" w:pos="5040"/>
          <w:tab w:val="left" w:pos="5472"/>
        </w:tabs>
        <w:jc w:val="both"/>
        <w:rPr>
          <w:b w:val="0"/>
          <w:bCs w:val="0"/>
          <w:sz w:val="24"/>
          <w:szCs w:val="24"/>
          <w:rtl/>
        </w:rPr>
      </w:pPr>
    </w:p>
    <w:p w:rsidR="00D6267D" w:rsidRPr="00D6267D" w:rsidRDefault="00D6267D" w:rsidP="0077470D">
      <w:pPr>
        <w:pStyle w:val="HeadHatzaotHok"/>
        <w:keepNext w:val="0"/>
        <w:keepLines w:val="0"/>
        <w:tabs>
          <w:tab w:val="left" w:pos="720"/>
          <w:tab w:val="left" w:pos="1440"/>
          <w:tab w:val="left" w:pos="2069"/>
          <w:tab w:val="left" w:pos="2880"/>
          <w:tab w:val="left" w:pos="3600"/>
          <w:tab w:val="left" w:pos="4320"/>
          <w:tab w:val="left" w:pos="5040"/>
          <w:tab w:val="left" w:pos="5472"/>
        </w:tabs>
        <w:jc w:val="both"/>
        <w:rPr>
          <w:b w:val="0"/>
          <w:bCs w:val="0"/>
          <w:sz w:val="24"/>
          <w:szCs w:val="24"/>
          <w:rtl/>
        </w:rPr>
      </w:pPr>
    </w:p>
    <w:sectPr w:rsidR="00D6267D" w:rsidRPr="00D6267D" w:rsidSect="00715A05">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D16" w:rsidRDefault="00101D16" w:rsidP="008A6EAB">
      <w:pPr>
        <w:spacing w:before="0" w:line="240" w:lineRule="auto"/>
      </w:pPr>
      <w:r>
        <w:separator/>
      </w:r>
    </w:p>
  </w:endnote>
  <w:endnote w:type="continuationSeparator" w:id="0">
    <w:p w:rsidR="00101D16" w:rsidRDefault="00101D16" w:rsidP="008A6EA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Hadasa Roso SL">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adasaRosoSL">
    <w:panose1 w:val="00000000000000000000"/>
    <w:charset w:val="B1"/>
    <w:family w:val="auto"/>
    <w:notTrueType/>
    <w:pitch w:val="default"/>
    <w:sig w:usb0="00001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16" w:rsidRDefault="00876816">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325" w:rsidRDefault="0015476B">
    <w:pPr>
      <w:pStyle w:val="a9"/>
      <w:jc w:val="center"/>
    </w:pPr>
    <w:r>
      <w:fldChar w:fldCharType="begin"/>
    </w:r>
    <w:r w:rsidR="00127325">
      <w:instrText xml:space="preserve"> PAGE   \* MERGEFORMAT </w:instrText>
    </w:r>
    <w:r>
      <w:fldChar w:fldCharType="separate"/>
    </w:r>
    <w:r w:rsidR="00395BCF" w:rsidRPr="00395BCF">
      <w:rPr>
        <w:rFonts w:cs="Calibri"/>
        <w:noProof/>
        <w:rtl/>
        <w:lang w:val="he-IL"/>
      </w:rPr>
      <w:t>1</w:t>
    </w:r>
    <w:r>
      <w:fldChar w:fldCharType="end"/>
    </w:r>
  </w:p>
  <w:p w:rsidR="00127325" w:rsidRPr="001776ED" w:rsidRDefault="00127325">
    <w:pPr>
      <w:pStyle w:val="a9"/>
      <w:rPr>
        <w:rFonts w:ascii="Garamond" w:hAnsi="Garamond"/>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16" w:rsidRDefault="0087681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D16" w:rsidRDefault="00101D16" w:rsidP="008A6EAB">
      <w:pPr>
        <w:spacing w:before="0" w:line="240" w:lineRule="auto"/>
      </w:pPr>
      <w:r>
        <w:separator/>
      </w:r>
    </w:p>
  </w:footnote>
  <w:footnote w:type="continuationSeparator" w:id="0">
    <w:p w:rsidR="00101D16" w:rsidRDefault="00101D16" w:rsidP="008A6EAB">
      <w:pPr>
        <w:spacing w:before="0" w:line="240" w:lineRule="auto"/>
      </w:pPr>
      <w:r>
        <w:continuationSeparator/>
      </w:r>
    </w:p>
  </w:footnote>
  <w:footnote w:id="1">
    <w:p w:rsidR="00127325" w:rsidRDefault="00127325" w:rsidP="00A10F1B">
      <w:pPr>
        <w:pStyle w:val="a4"/>
        <w:rPr>
          <w:rFonts w:ascii="HadasaRosoSL" w:cs="HadasaRosoSL"/>
          <w:spacing w:val="1"/>
          <w:sz w:val="16"/>
          <w:szCs w:val="16"/>
        </w:rPr>
      </w:pPr>
      <w:r>
        <w:rPr>
          <w:rStyle w:val="a5"/>
        </w:rPr>
        <w:footnoteRef/>
      </w:r>
      <w:r>
        <w:rPr>
          <w:rFonts w:hint="cs"/>
          <w:rtl/>
        </w:rPr>
        <w:t xml:space="preserve"> ס"ח התשמ"ח עמ' 128; </w:t>
      </w:r>
      <w:r w:rsidRPr="00D65E2D">
        <w:rPr>
          <w:rFonts w:hint="cs"/>
          <w:rtl/>
        </w:rPr>
        <w:t>התשע"ה, עמ' 111.</w:t>
      </w:r>
    </w:p>
  </w:footnote>
  <w:footnote w:id="2">
    <w:p w:rsidR="009573F3" w:rsidRPr="009573F3" w:rsidRDefault="009573F3" w:rsidP="009573F3">
      <w:pPr>
        <w:pStyle w:val="a4"/>
      </w:pPr>
      <w:r>
        <w:rPr>
          <w:rStyle w:val="a5"/>
        </w:rPr>
        <w:footnoteRef/>
      </w:r>
      <w:r>
        <w:rPr>
          <w:rtl/>
        </w:rPr>
        <w:t xml:space="preserve"> </w:t>
      </w:r>
      <w:r w:rsidR="00EA1E08">
        <w:rPr>
          <w:rFonts w:hint="cs"/>
          <w:rtl/>
        </w:rPr>
        <w:t xml:space="preserve">   </w:t>
      </w:r>
      <w:r w:rsidRPr="009573F3">
        <w:rPr>
          <w:rFonts w:hint="cs"/>
          <w:rtl/>
        </w:rPr>
        <w:t xml:space="preserve">למעשה, התזכיר המתוקן אף מפחית את הנטל הרגולטורי לעומת התזכיר המקורי, </w:t>
      </w:r>
      <w:r>
        <w:rPr>
          <w:rFonts w:hint="cs"/>
          <w:rtl/>
        </w:rPr>
        <w:t>שכן הוא אינו כולל איסור התנהגותי כללי על ניצול מעמד לרעה, כפי שהיה בתזכיר המקורי, אלא סמכות נקודות להטיל הוראות</w:t>
      </w:r>
      <w:r w:rsidR="00D159C9">
        <w:rPr>
          <w:rFonts w:hint="cs"/>
          <w:rtl/>
        </w:rPr>
        <w:t xml:space="preserve"> ממוקדות</w:t>
      </w:r>
      <w:r>
        <w:rPr>
          <w:rFonts w:hint="cs"/>
          <w:rtl/>
        </w:rPr>
        <w:t xml:space="preserve"> </w:t>
      </w:r>
      <w:r w:rsidR="00D159C9">
        <w:rPr>
          <w:rFonts w:hint="cs"/>
          <w:rtl/>
        </w:rPr>
        <w:t>על יבואנים מורשים ספציפיים במקרים מתאימים למניעת דחיקת יבוא מקביל</w:t>
      </w:r>
      <w:r>
        <w:rPr>
          <w:rFonts w:hint="cs"/>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16" w:rsidRDefault="0087681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546" w:rsidRDefault="002A3546" w:rsidP="002A3546">
    <w:pPr>
      <w:pStyle w:val="a7"/>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16" w:rsidRDefault="0087681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6AAD98"/>
    <w:lvl w:ilvl="0">
      <w:start w:val="1"/>
      <w:numFmt w:val="decimal"/>
      <w:lvlText w:val="%1."/>
      <w:lvlJc w:val="left"/>
      <w:pPr>
        <w:tabs>
          <w:tab w:val="num" w:pos="1492"/>
        </w:tabs>
        <w:ind w:left="1492" w:hanging="360"/>
      </w:pPr>
      <w:rPr>
        <w:rFonts w:cs="Times New Roman"/>
      </w:rPr>
    </w:lvl>
  </w:abstractNum>
  <w:abstractNum w:abstractNumId="1">
    <w:nsid w:val="063A177F"/>
    <w:multiLevelType w:val="hybridMultilevel"/>
    <w:tmpl w:val="2CA87586"/>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8D0537D"/>
    <w:multiLevelType w:val="hybridMultilevel"/>
    <w:tmpl w:val="E6665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767207"/>
    <w:multiLevelType w:val="hybridMultilevel"/>
    <w:tmpl w:val="B3CADA5E"/>
    <w:lvl w:ilvl="0" w:tplc="29ACFC64">
      <w:start w:val="1"/>
      <w:numFmt w:val="decimal"/>
      <w:lvlRestart w:val="0"/>
      <w:lvlText w:val="(%1)"/>
      <w:lvlJc w:val="left"/>
      <w:pPr>
        <w:tabs>
          <w:tab w:val="num" w:pos="624"/>
        </w:tabs>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2532DA4"/>
    <w:multiLevelType w:val="hybridMultilevel"/>
    <w:tmpl w:val="55AC3BD6"/>
    <w:lvl w:ilvl="0" w:tplc="D7AA4E94">
      <w:start w:val="1"/>
      <w:numFmt w:val="hebrew1"/>
      <w:lvlText w:val="%1."/>
      <w:lvlJc w:val="left"/>
      <w:pPr>
        <w:ind w:left="720" w:hanging="360"/>
      </w:pPr>
      <w:rPr>
        <w:rFonts w:cs="Times New Roman" w:hint="default"/>
        <w:b w:val="0"/>
        <w:bCs/>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3491652"/>
    <w:multiLevelType w:val="hybridMultilevel"/>
    <w:tmpl w:val="252A4412"/>
    <w:lvl w:ilvl="0" w:tplc="80104C28">
      <w:start w:val="1"/>
      <w:numFmt w:val="hebrew1"/>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19062D9E"/>
    <w:multiLevelType w:val="hybridMultilevel"/>
    <w:tmpl w:val="6F2C619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CDD78F3"/>
    <w:multiLevelType w:val="hybridMultilevel"/>
    <w:tmpl w:val="9E4C4E42"/>
    <w:lvl w:ilvl="0" w:tplc="861C87C0">
      <w:start w:val="1"/>
      <w:numFmt w:val="decimal"/>
      <w:lvlText w:val="(%1)"/>
      <w:lvlJc w:val="left"/>
      <w:pPr>
        <w:tabs>
          <w:tab w:val="num" w:pos="624"/>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F1D4A3F"/>
    <w:multiLevelType w:val="hybridMultilevel"/>
    <w:tmpl w:val="309418C0"/>
    <w:lvl w:ilvl="0" w:tplc="D090CA4C">
      <w:start w:val="1"/>
      <w:numFmt w:val="decimal"/>
      <w:lvlRestart w:val="0"/>
      <w:lvlText w:val="(%1)"/>
      <w:lvlJc w:val="left"/>
      <w:pPr>
        <w:tabs>
          <w:tab w:val="num" w:pos="624"/>
        </w:tabs>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F827B33"/>
    <w:multiLevelType w:val="hybridMultilevel"/>
    <w:tmpl w:val="D0FAA75C"/>
    <w:lvl w:ilvl="0" w:tplc="60FE71F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2C8C2473"/>
    <w:multiLevelType w:val="hybridMultilevel"/>
    <w:tmpl w:val="21BEF5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F69055D"/>
    <w:multiLevelType w:val="hybridMultilevel"/>
    <w:tmpl w:val="120CCAE6"/>
    <w:lvl w:ilvl="0" w:tplc="87AC6820">
      <w:start w:val="1"/>
      <w:numFmt w:val="hebrew1"/>
      <w:lvlText w:val="(%1)"/>
      <w:lvlJc w:val="left"/>
      <w:pPr>
        <w:ind w:left="720" w:hanging="360"/>
      </w:pPr>
      <w:rPr>
        <w:rFonts w:cs="Davi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176D9F"/>
    <w:multiLevelType w:val="hybridMultilevel"/>
    <w:tmpl w:val="7E54D858"/>
    <w:lvl w:ilvl="0" w:tplc="9DB828E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36510D2F"/>
    <w:multiLevelType w:val="hybridMultilevel"/>
    <w:tmpl w:val="8878FAA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68F5D71"/>
    <w:multiLevelType w:val="hybridMultilevel"/>
    <w:tmpl w:val="9272CB4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6283E78"/>
    <w:multiLevelType w:val="hybridMultilevel"/>
    <w:tmpl w:val="898C40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AF43316"/>
    <w:multiLevelType w:val="hybridMultilevel"/>
    <w:tmpl w:val="87F2E776"/>
    <w:lvl w:ilvl="0" w:tplc="79005B5E">
      <w:start w:val="1"/>
      <w:numFmt w:val="hebrew1"/>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4F897FE3"/>
    <w:multiLevelType w:val="hybridMultilevel"/>
    <w:tmpl w:val="05FCD994"/>
    <w:lvl w:ilvl="0" w:tplc="C0DE8B68">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08B2584"/>
    <w:multiLevelType w:val="hybridMultilevel"/>
    <w:tmpl w:val="EFA8C4C0"/>
    <w:lvl w:ilvl="0" w:tplc="5AACD57E">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38E27EA"/>
    <w:multiLevelType w:val="hybridMultilevel"/>
    <w:tmpl w:val="3F5C1EE8"/>
    <w:lvl w:ilvl="0" w:tplc="0DCCC436">
      <w:start w:val="1"/>
      <w:numFmt w:val="decimal"/>
      <w:lvlText w:val="(%1)"/>
      <w:lvlJc w:val="left"/>
      <w:pPr>
        <w:ind w:left="859" w:hanging="360"/>
      </w:pPr>
      <w:rPr>
        <w:rFonts w:ascii="Times New Roman" w:eastAsia="Times New Roman" w:hAnsi="Times New Roman" w:cs="David"/>
      </w:r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20">
    <w:nsid w:val="54021177"/>
    <w:multiLevelType w:val="hybridMultilevel"/>
    <w:tmpl w:val="6F2C619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56BD5A83"/>
    <w:multiLevelType w:val="hybridMultilevel"/>
    <w:tmpl w:val="5DC0FA64"/>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
    <w:nsid w:val="56F36410"/>
    <w:multiLevelType w:val="hybridMultilevel"/>
    <w:tmpl w:val="5FD24F0C"/>
    <w:lvl w:ilvl="0" w:tplc="F6F602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0A7551"/>
    <w:multiLevelType w:val="hybridMultilevel"/>
    <w:tmpl w:val="7DE6719C"/>
    <w:lvl w:ilvl="0" w:tplc="A98E4D8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5D6E1058"/>
    <w:multiLevelType w:val="hybridMultilevel"/>
    <w:tmpl w:val="C31A5E36"/>
    <w:lvl w:ilvl="0" w:tplc="4BB4CCAE">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ABB44D5"/>
    <w:multiLevelType w:val="hybridMultilevel"/>
    <w:tmpl w:val="DAAA2A9A"/>
    <w:lvl w:ilvl="0" w:tplc="A8A0AC1A">
      <w:start w:val="1"/>
      <w:numFmt w:val="decimal"/>
      <w:lvlRestart w:val="0"/>
      <w:lvlText w:val="(%1)"/>
      <w:lvlJc w:val="left"/>
      <w:pPr>
        <w:tabs>
          <w:tab w:val="num" w:pos="624"/>
        </w:tabs>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53C544D"/>
    <w:multiLevelType w:val="hybridMultilevel"/>
    <w:tmpl w:val="B170A16C"/>
    <w:lvl w:ilvl="0" w:tplc="746489A4">
      <w:start w:val="1"/>
      <w:numFmt w:val="decimal"/>
      <w:lvlText w:val="%1."/>
      <w:lvlJc w:val="left"/>
      <w:pPr>
        <w:tabs>
          <w:tab w:val="num" w:pos="0"/>
        </w:tabs>
      </w:pPr>
      <w:rPr>
        <w:rFonts w:cs="Times New Roman" w:hint="default"/>
      </w:rPr>
    </w:lvl>
    <w:lvl w:ilvl="1" w:tplc="D3D4E8B2">
      <w:start w:val="1"/>
      <w:numFmt w:val="decimal"/>
      <w:lvlText w:val="(%2)"/>
      <w:lvlJc w:val="left"/>
      <w:pPr>
        <w:tabs>
          <w:tab w:val="num" w:pos="624"/>
        </w:tabs>
      </w:pPr>
      <w:rPr>
        <w:rFonts w:cs="Times New Roman" w:hint="default"/>
      </w:rPr>
    </w:lvl>
    <w:lvl w:ilvl="2" w:tplc="5D2AB1E4">
      <w:start w:val="1"/>
      <w:numFmt w:val="hebrew1"/>
      <w:lvlText w:val="(%3)"/>
      <w:lvlJc w:val="left"/>
      <w:pPr>
        <w:tabs>
          <w:tab w:val="num" w:pos="624"/>
        </w:tabs>
      </w:pPr>
      <w:rPr>
        <w:rFonts w:cs="Times New Roman" w:hint="default"/>
      </w:rPr>
    </w:lvl>
    <w:lvl w:ilvl="3" w:tplc="1F820BA4">
      <w:start w:val="1"/>
      <w:numFmt w:val="hebrew1"/>
      <w:lvlRestart w:val="0"/>
      <w:lvlText w:val="(%4)"/>
      <w:lvlJc w:val="left"/>
      <w:pPr>
        <w:tabs>
          <w:tab w:val="num" w:pos="624"/>
        </w:tabs>
      </w:pPr>
      <w:rPr>
        <w:rFonts w:cs="Times New Roman" w:hint="default"/>
      </w:rPr>
    </w:lvl>
    <w:lvl w:ilvl="4" w:tplc="62C6E096">
      <w:start w:val="1"/>
      <w:numFmt w:val="decimal"/>
      <w:lvlRestart w:val="0"/>
      <w:lvlText w:val="(%5)"/>
      <w:lvlJc w:val="left"/>
      <w:pPr>
        <w:tabs>
          <w:tab w:val="num" w:pos="3864"/>
        </w:tabs>
        <w:ind w:left="324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75C858E4"/>
    <w:multiLevelType w:val="hybridMultilevel"/>
    <w:tmpl w:val="882C6ED4"/>
    <w:lvl w:ilvl="0" w:tplc="4112A21E">
      <w:start w:val="1"/>
      <w:numFmt w:val="hebrew1"/>
      <w:lvlRestart w:val="0"/>
      <w:lvlText w:val="(%1)"/>
      <w:lvlJc w:val="left"/>
      <w:pPr>
        <w:tabs>
          <w:tab w:val="num" w:pos="624"/>
        </w:tabs>
      </w:pPr>
      <w:rPr>
        <w:rFonts w:cs="Times New Roman" w:hint="default"/>
      </w:rPr>
    </w:lvl>
    <w:lvl w:ilvl="1" w:tplc="49082BE6">
      <w:start w:val="1"/>
      <w:numFmt w:val="decimal"/>
      <w:lvlRestart w:val="0"/>
      <w:lvlText w:val="(%2)"/>
      <w:lvlJc w:val="left"/>
      <w:pPr>
        <w:tabs>
          <w:tab w:val="num" w:pos="1704"/>
        </w:tabs>
        <w:ind w:left="1080"/>
      </w:pPr>
      <w:rPr>
        <w:rFonts w:cs="Times New Roman" w:hint="default"/>
      </w:rPr>
    </w:lvl>
    <w:lvl w:ilvl="2" w:tplc="48C06176">
      <w:start w:val="1"/>
      <w:numFmt w:val="decimal"/>
      <w:lvlRestart w:val="0"/>
      <w:lvlText w:val="(%3)"/>
      <w:lvlJc w:val="left"/>
      <w:pPr>
        <w:tabs>
          <w:tab w:val="num" w:pos="2604"/>
        </w:tabs>
        <w:ind w:left="198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75FC230F"/>
    <w:multiLevelType w:val="hybridMultilevel"/>
    <w:tmpl w:val="AE08F1E2"/>
    <w:lvl w:ilvl="0" w:tplc="F1A87BBA">
      <w:start w:val="1"/>
      <w:numFmt w:val="hebrew1"/>
      <w:lvlText w:val="%1."/>
      <w:lvlJc w:val="left"/>
      <w:pPr>
        <w:ind w:left="720" w:hanging="360"/>
      </w:pPr>
      <w:rPr>
        <w:rFonts w:cs="David" w:hint="default"/>
        <w:b w:val="0"/>
        <w:bCs/>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7A402ED3"/>
    <w:multiLevelType w:val="hybridMultilevel"/>
    <w:tmpl w:val="2756827A"/>
    <w:lvl w:ilvl="0" w:tplc="06182604">
      <w:start w:val="1"/>
      <w:numFmt w:val="decimal"/>
      <w:lvlRestart w:val="0"/>
      <w:lvlText w:val="(%1)"/>
      <w:lvlJc w:val="left"/>
      <w:pPr>
        <w:tabs>
          <w:tab w:val="num" w:pos="624"/>
        </w:tabs>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6"/>
  </w:num>
  <w:num w:numId="2">
    <w:abstractNumId w:val="0"/>
  </w:num>
  <w:num w:numId="3">
    <w:abstractNumId w:val="7"/>
  </w:num>
  <w:num w:numId="4">
    <w:abstractNumId w:val="27"/>
  </w:num>
  <w:num w:numId="5">
    <w:abstractNumId w:val="28"/>
  </w:num>
  <w:num w:numId="6">
    <w:abstractNumId w:val="25"/>
  </w:num>
  <w:num w:numId="7">
    <w:abstractNumId w:val="8"/>
  </w:num>
  <w:num w:numId="8">
    <w:abstractNumId w:val="29"/>
  </w:num>
  <w:num w:numId="9">
    <w:abstractNumId w:val="3"/>
  </w:num>
  <w:num w:numId="10">
    <w:abstractNumId w:val="15"/>
  </w:num>
  <w:num w:numId="11">
    <w:abstractNumId w:val="1"/>
  </w:num>
  <w:num w:numId="12">
    <w:abstractNumId w:val="6"/>
  </w:num>
  <w:num w:numId="13">
    <w:abstractNumId w:val="13"/>
  </w:num>
  <w:num w:numId="14">
    <w:abstractNumId w:val="21"/>
  </w:num>
  <w:num w:numId="15">
    <w:abstractNumId w:val="20"/>
  </w:num>
  <w:num w:numId="16">
    <w:abstractNumId w:val="23"/>
  </w:num>
  <w:num w:numId="17">
    <w:abstractNumId w:val="9"/>
  </w:num>
  <w:num w:numId="18">
    <w:abstractNumId w:val="10"/>
  </w:num>
  <w:num w:numId="19">
    <w:abstractNumId w:val="17"/>
  </w:num>
  <w:num w:numId="20">
    <w:abstractNumId w:val="24"/>
  </w:num>
  <w:num w:numId="21">
    <w:abstractNumId w:val="12"/>
  </w:num>
  <w:num w:numId="22">
    <w:abstractNumId w:val="4"/>
  </w:num>
  <w:num w:numId="23">
    <w:abstractNumId w:val="16"/>
  </w:num>
  <w:num w:numId="24">
    <w:abstractNumId w:val="5"/>
  </w:num>
  <w:num w:numId="25">
    <w:abstractNumId w:val="14"/>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9"/>
  </w:num>
  <w:num w:numId="29">
    <w:abstractNumId w:val="11"/>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EAB"/>
    <w:rsid w:val="00014037"/>
    <w:rsid w:val="0001584C"/>
    <w:rsid w:val="000164F6"/>
    <w:rsid w:val="000166B4"/>
    <w:rsid w:val="00017EE1"/>
    <w:rsid w:val="00023492"/>
    <w:rsid w:val="000251B6"/>
    <w:rsid w:val="00025F7B"/>
    <w:rsid w:val="00027001"/>
    <w:rsid w:val="00030C72"/>
    <w:rsid w:val="000333E9"/>
    <w:rsid w:val="00034A2B"/>
    <w:rsid w:val="00040E8A"/>
    <w:rsid w:val="00041C13"/>
    <w:rsid w:val="000421BE"/>
    <w:rsid w:val="00042EEA"/>
    <w:rsid w:val="000456AE"/>
    <w:rsid w:val="000547EC"/>
    <w:rsid w:val="00054A56"/>
    <w:rsid w:val="00056F6F"/>
    <w:rsid w:val="00060F5A"/>
    <w:rsid w:val="000674C7"/>
    <w:rsid w:val="000701D8"/>
    <w:rsid w:val="00070E72"/>
    <w:rsid w:val="00071BE4"/>
    <w:rsid w:val="00072B88"/>
    <w:rsid w:val="00077343"/>
    <w:rsid w:val="000779E9"/>
    <w:rsid w:val="0008020A"/>
    <w:rsid w:val="0008075E"/>
    <w:rsid w:val="00082F25"/>
    <w:rsid w:val="00083CFA"/>
    <w:rsid w:val="00084C1E"/>
    <w:rsid w:val="0008506B"/>
    <w:rsid w:val="0009158F"/>
    <w:rsid w:val="00093AEA"/>
    <w:rsid w:val="000A1145"/>
    <w:rsid w:val="000A1286"/>
    <w:rsid w:val="000A38AF"/>
    <w:rsid w:val="000A5D10"/>
    <w:rsid w:val="000A64D8"/>
    <w:rsid w:val="000A7590"/>
    <w:rsid w:val="000B35D6"/>
    <w:rsid w:val="000B3FDB"/>
    <w:rsid w:val="000B64AF"/>
    <w:rsid w:val="000C2289"/>
    <w:rsid w:val="000C3908"/>
    <w:rsid w:val="000C5914"/>
    <w:rsid w:val="000C64DC"/>
    <w:rsid w:val="000D2E0E"/>
    <w:rsid w:val="000D34CA"/>
    <w:rsid w:val="000D3ED5"/>
    <w:rsid w:val="000D581A"/>
    <w:rsid w:val="000D718D"/>
    <w:rsid w:val="000E34E0"/>
    <w:rsid w:val="000E4281"/>
    <w:rsid w:val="000E5D81"/>
    <w:rsid w:val="000E7BC0"/>
    <w:rsid w:val="000F3ACD"/>
    <w:rsid w:val="000F77E8"/>
    <w:rsid w:val="000F7DF7"/>
    <w:rsid w:val="00100F87"/>
    <w:rsid w:val="0010154C"/>
    <w:rsid w:val="00101CB3"/>
    <w:rsid w:val="00101D16"/>
    <w:rsid w:val="00101F56"/>
    <w:rsid w:val="00110981"/>
    <w:rsid w:val="0011172D"/>
    <w:rsid w:val="00111A73"/>
    <w:rsid w:val="00112541"/>
    <w:rsid w:val="001210E8"/>
    <w:rsid w:val="00121151"/>
    <w:rsid w:val="00124467"/>
    <w:rsid w:val="0012507B"/>
    <w:rsid w:val="00127325"/>
    <w:rsid w:val="00131A68"/>
    <w:rsid w:val="00134C7B"/>
    <w:rsid w:val="00136F87"/>
    <w:rsid w:val="00137014"/>
    <w:rsid w:val="001370C5"/>
    <w:rsid w:val="00137C89"/>
    <w:rsid w:val="00140BDB"/>
    <w:rsid w:val="00142406"/>
    <w:rsid w:val="00145C94"/>
    <w:rsid w:val="001510FB"/>
    <w:rsid w:val="0015476B"/>
    <w:rsid w:val="001552AC"/>
    <w:rsid w:val="00161272"/>
    <w:rsid w:val="001623ED"/>
    <w:rsid w:val="00163C07"/>
    <w:rsid w:val="00164743"/>
    <w:rsid w:val="0016514E"/>
    <w:rsid w:val="00166059"/>
    <w:rsid w:val="00171993"/>
    <w:rsid w:val="00175F5E"/>
    <w:rsid w:val="001776ED"/>
    <w:rsid w:val="00177C2A"/>
    <w:rsid w:val="0018011D"/>
    <w:rsid w:val="001804B0"/>
    <w:rsid w:val="00180873"/>
    <w:rsid w:val="00192811"/>
    <w:rsid w:val="00196412"/>
    <w:rsid w:val="001A0B3D"/>
    <w:rsid w:val="001A1292"/>
    <w:rsid w:val="001A24BA"/>
    <w:rsid w:val="001A3701"/>
    <w:rsid w:val="001A3C54"/>
    <w:rsid w:val="001A44E7"/>
    <w:rsid w:val="001B26F0"/>
    <w:rsid w:val="001C50C4"/>
    <w:rsid w:val="001C5911"/>
    <w:rsid w:val="001C5CF5"/>
    <w:rsid w:val="001C5D47"/>
    <w:rsid w:val="001C7E91"/>
    <w:rsid w:val="001D42B4"/>
    <w:rsid w:val="001D586D"/>
    <w:rsid w:val="001D5DFF"/>
    <w:rsid w:val="001D758A"/>
    <w:rsid w:val="001E1BE7"/>
    <w:rsid w:val="001E4BE1"/>
    <w:rsid w:val="001E4CE0"/>
    <w:rsid w:val="001E5DF4"/>
    <w:rsid w:val="001F1220"/>
    <w:rsid w:val="001F202F"/>
    <w:rsid w:val="001F5686"/>
    <w:rsid w:val="001F6BD0"/>
    <w:rsid w:val="001F6E45"/>
    <w:rsid w:val="002036F3"/>
    <w:rsid w:val="00204B04"/>
    <w:rsid w:val="00206CD6"/>
    <w:rsid w:val="0020739E"/>
    <w:rsid w:val="002078B4"/>
    <w:rsid w:val="00211DED"/>
    <w:rsid w:val="0021512F"/>
    <w:rsid w:val="0021699F"/>
    <w:rsid w:val="00223E94"/>
    <w:rsid w:val="00224C3A"/>
    <w:rsid w:val="00226A94"/>
    <w:rsid w:val="00233269"/>
    <w:rsid w:val="002336B8"/>
    <w:rsid w:val="0023536C"/>
    <w:rsid w:val="00236BC6"/>
    <w:rsid w:val="00236BF0"/>
    <w:rsid w:val="00237980"/>
    <w:rsid w:val="00237DF7"/>
    <w:rsid w:val="002413F9"/>
    <w:rsid w:val="0024386A"/>
    <w:rsid w:val="00245714"/>
    <w:rsid w:val="00245D68"/>
    <w:rsid w:val="002504C4"/>
    <w:rsid w:val="002534B4"/>
    <w:rsid w:val="00253C56"/>
    <w:rsid w:val="002542FD"/>
    <w:rsid w:val="0025452F"/>
    <w:rsid w:val="0026250E"/>
    <w:rsid w:val="00263BE0"/>
    <w:rsid w:val="002712BC"/>
    <w:rsid w:val="00273C16"/>
    <w:rsid w:val="00273C8E"/>
    <w:rsid w:val="00275D89"/>
    <w:rsid w:val="002761F3"/>
    <w:rsid w:val="00276F63"/>
    <w:rsid w:val="00281F24"/>
    <w:rsid w:val="00284BB8"/>
    <w:rsid w:val="00285F0D"/>
    <w:rsid w:val="002920AD"/>
    <w:rsid w:val="0029369E"/>
    <w:rsid w:val="002941D9"/>
    <w:rsid w:val="0029542F"/>
    <w:rsid w:val="00296C1A"/>
    <w:rsid w:val="00296C33"/>
    <w:rsid w:val="002A0ECB"/>
    <w:rsid w:val="002A3546"/>
    <w:rsid w:val="002A6095"/>
    <w:rsid w:val="002A7802"/>
    <w:rsid w:val="002B0CB4"/>
    <w:rsid w:val="002B2364"/>
    <w:rsid w:val="002B43D8"/>
    <w:rsid w:val="002B5890"/>
    <w:rsid w:val="002B5B7E"/>
    <w:rsid w:val="002B63C0"/>
    <w:rsid w:val="002C0B0D"/>
    <w:rsid w:val="002C0DFF"/>
    <w:rsid w:val="002C0E50"/>
    <w:rsid w:val="002C0F62"/>
    <w:rsid w:val="002C50A9"/>
    <w:rsid w:val="002C7FF6"/>
    <w:rsid w:val="002D3DC8"/>
    <w:rsid w:val="002D6B9C"/>
    <w:rsid w:val="002E39F4"/>
    <w:rsid w:val="002E4C70"/>
    <w:rsid w:val="002E5B45"/>
    <w:rsid w:val="002F07AC"/>
    <w:rsid w:val="002F3453"/>
    <w:rsid w:val="002F565C"/>
    <w:rsid w:val="002F5ED7"/>
    <w:rsid w:val="002F6B32"/>
    <w:rsid w:val="003002D4"/>
    <w:rsid w:val="00301E0D"/>
    <w:rsid w:val="00303E54"/>
    <w:rsid w:val="00306A63"/>
    <w:rsid w:val="00306E3D"/>
    <w:rsid w:val="00307F2D"/>
    <w:rsid w:val="00313058"/>
    <w:rsid w:val="00320F50"/>
    <w:rsid w:val="003210CB"/>
    <w:rsid w:val="003247FC"/>
    <w:rsid w:val="0032510E"/>
    <w:rsid w:val="00325260"/>
    <w:rsid w:val="00332C39"/>
    <w:rsid w:val="00334056"/>
    <w:rsid w:val="00336DC0"/>
    <w:rsid w:val="00336DC6"/>
    <w:rsid w:val="00340ADB"/>
    <w:rsid w:val="00343999"/>
    <w:rsid w:val="00347C94"/>
    <w:rsid w:val="00351C70"/>
    <w:rsid w:val="0035564A"/>
    <w:rsid w:val="003560F5"/>
    <w:rsid w:val="00363A84"/>
    <w:rsid w:val="003645EA"/>
    <w:rsid w:val="00372203"/>
    <w:rsid w:val="00372EE6"/>
    <w:rsid w:val="0037472A"/>
    <w:rsid w:val="00374C2A"/>
    <w:rsid w:val="00375A2F"/>
    <w:rsid w:val="00375A69"/>
    <w:rsid w:val="003767B8"/>
    <w:rsid w:val="00376EB5"/>
    <w:rsid w:val="00383629"/>
    <w:rsid w:val="00386745"/>
    <w:rsid w:val="00394874"/>
    <w:rsid w:val="00395383"/>
    <w:rsid w:val="00395BCF"/>
    <w:rsid w:val="00397934"/>
    <w:rsid w:val="003A003D"/>
    <w:rsid w:val="003A2B3C"/>
    <w:rsid w:val="003A4CC7"/>
    <w:rsid w:val="003A4F04"/>
    <w:rsid w:val="003A5CDC"/>
    <w:rsid w:val="003A6047"/>
    <w:rsid w:val="003A7393"/>
    <w:rsid w:val="003A743B"/>
    <w:rsid w:val="003A7B7A"/>
    <w:rsid w:val="003B0CB4"/>
    <w:rsid w:val="003B20B7"/>
    <w:rsid w:val="003B2150"/>
    <w:rsid w:val="003B2833"/>
    <w:rsid w:val="003C36F2"/>
    <w:rsid w:val="003C37B5"/>
    <w:rsid w:val="003C4F86"/>
    <w:rsid w:val="003D0266"/>
    <w:rsid w:val="003D0A8C"/>
    <w:rsid w:val="003D3B1D"/>
    <w:rsid w:val="003D4FCC"/>
    <w:rsid w:val="003D5CF2"/>
    <w:rsid w:val="003D611F"/>
    <w:rsid w:val="003E05DE"/>
    <w:rsid w:val="003E35CD"/>
    <w:rsid w:val="003E5073"/>
    <w:rsid w:val="003E688B"/>
    <w:rsid w:val="003F05A7"/>
    <w:rsid w:val="003F12D7"/>
    <w:rsid w:val="003F2727"/>
    <w:rsid w:val="003F5CE7"/>
    <w:rsid w:val="003F64A6"/>
    <w:rsid w:val="003F6B61"/>
    <w:rsid w:val="00402CAB"/>
    <w:rsid w:val="004039E7"/>
    <w:rsid w:val="00403B35"/>
    <w:rsid w:val="00404D0F"/>
    <w:rsid w:val="00407EF4"/>
    <w:rsid w:val="00420A55"/>
    <w:rsid w:val="004237E8"/>
    <w:rsid w:val="00426A85"/>
    <w:rsid w:val="0043080A"/>
    <w:rsid w:val="004311E2"/>
    <w:rsid w:val="004329F7"/>
    <w:rsid w:val="00434420"/>
    <w:rsid w:val="00434495"/>
    <w:rsid w:val="00434916"/>
    <w:rsid w:val="00434A9B"/>
    <w:rsid w:val="00436300"/>
    <w:rsid w:val="00444C13"/>
    <w:rsid w:val="00444E70"/>
    <w:rsid w:val="0044771C"/>
    <w:rsid w:val="00447AEC"/>
    <w:rsid w:val="004502A6"/>
    <w:rsid w:val="00455579"/>
    <w:rsid w:val="00455EAF"/>
    <w:rsid w:val="00463AA9"/>
    <w:rsid w:val="00465A37"/>
    <w:rsid w:val="004667E1"/>
    <w:rsid w:val="004672CC"/>
    <w:rsid w:val="004703F0"/>
    <w:rsid w:val="00471047"/>
    <w:rsid w:val="004758E4"/>
    <w:rsid w:val="00475B5D"/>
    <w:rsid w:val="00475B9D"/>
    <w:rsid w:val="00475E9D"/>
    <w:rsid w:val="00481966"/>
    <w:rsid w:val="00483AB5"/>
    <w:rsid w:val="00490E72"/>
    <w:rsid w:val="00492448"/>
    <w:rsid w:val="004944FC"/>
    <w:rsid w:val="00494720"/>
    <w:rsid w:val="004960C6"/>
    <w:rsid w:val="00496162"/>
    <w:rsid w:val="00497340"/>
    <w:rsid w:val="004A322E"/>
    <w:rsid w:val="004A7D9B"/>
    <w:rsid w:val="004B12B2"/>
    <w:rsid w:val="004B366B"/>
    <w:rsid w:val="004C08B0"/>
    <w:rsid w:val="004C1CC9"/>
    <w:rsid w:val="004C5BA8"/>
    <w:rsid w:val="004C7FC9"/>
    <w:rsid w:val="004D261C"/>
    <w:rsid w:val="004D2F6A"/>
    <w:rsid w:val="004D3822"/>
    <w:rsid w:val="004D772E"/>
    <w:rsid w:val="004E0CAC"/>
    <w:rsid w:val="004E169B"/>
    <w:rsid w:val="004E196F"/>
    <w:rsid w:val="004E3F7E"/>
    <w:rsid w:val="004E406A"/>
    <w:rsid w:val="004E4D5B"/>
    <w:rsid w:val="004E547F"/>
    <w:rsid w:val="004F07D6"/>
    <w:rsid w:val="004F2D67"/>
    <w:rsid w:val="004F33BB"/>
    <w:rsid w:val="004F37DF"/>
    <w:rsid w:val="004F6B83"/>
    <w:rsid w:val="0050013D"/>
    <w:rsid w:val="005016A2"/>
    <w:rsid w:val="00502656"/>
    <w:rsid w:val="0050274B"/>
    <w:rsid w:val="00504B47"/>
    <w:rsid w:val="00512D2F"/>
    <w:rsid w:val="00512D9E"/>
    <w:rsid w:val="005146DB"/>
    <w:rsid w:val="00515E9D"/>
    <w:rsid w:val="00520F07"/>
    <w:rsid w:val="00521597"/>
    <w:rsid w:val="0052172C"/>
    <w:rsid w:val="00523134"/>
    <w:rsid w:val="00523B15"/>
    <w:rsid w:val="005254D1"/>
    <w:rsid w:val="005255D0"/>
    <w:rsid w:val="00525AE1"/>
    <w:rsid w:val="00530F46"/>
    <w:rsid w:val="005328B9"/>
    <w:rsid w:val="00540BCA"/>
    <w:rsid w:val="005423BB"/>
    <w:rsid w:val="005438CE"/>
    <w:rsid w:val="00544041"/>
    <w:rsid w:val="00556D53"/>
    <w:rsid w:val="0056025F"/>
    <w:rsid w:val="0056312F"/>
    <w:rsid w:val="0056527B"/>
    <w:rsid w:val="00567444"/>
    <w:rsid w:val="0057026D"/>
    <w:rsid w:val="00570C58"/>
    <w:rsid w:val="00571407"/>
    <w:rsid w:val="005725FC"/>
    <w:rsid w:val="00575528"/>
    <w:rsid w:val="00585DAE"/>
    <w:rsid w:val="005867D9"/>
    <w:rsid w:val="00587EEE"/>
    <w:rsid w:val="00590597"/>
    <w:rsid w:val="0059157B"/>
    <w:rsid w:val="00592A1A"/>
    <w:rsid w:val="005932AA"/>
    <w:rsid w:val="00594BE0"/>
    <w:rsid w:val="00594BE3"/>
    <w:rsid w:val="005966F0"/>
    <w:rsid w:val="005971E6"/>
    <w:rsid w:val="005A4006"/>
    <w:rsid w:val="005A5EB7"/>
    <w:rsid w:val="005B2000"/>
    <w:rsid w:val="005B347D"/>
    <w:rsid w:val="005B3A59"/>
    <w:rsid w:val="005C2A5B"/>
    <w:rsid w:val="005C46BC"/>
    <w:rsid w:val="005D3CA8"/>
    <w:rsid w:val="005E1180"/>
    <w:rsid w:val="005E31D6"/>
    <w:rsid w:val="005E4138"/>
    <w:rsid w:val="005F1526"/>
    <w:rsid w:val="005F2BAA"/>
    <w:rsid w:val="005F2ED8"/>
    <w:rsid w:val="005F41D0"/>
    <w:rsid w:val="005F6DCA"/>
    <w:rsid w:val="005F72B5"/>
    <w:rsid w:val="005F7ABB"/>
    <w:rsid w:val="0060082F"/>
    <w:rsid w:val="00600BEC"/>
    <w:rsid w:val="00610C65"/>
    <w:rsid w:val="00611832"/>
    <w:rsid w:val="00612FD6"/>
    <w:rsid w:val="006161D5"/>
    <w:rsid w:val="0062225F"/>
    <w:rsid w:val="006233EA"/>
    <w:rsid w:val="0062371C"/>
    <w:rsid w:val="00626274"/>
    <w:rsid w:val="00630EEB"/>
    <w:rsid w:val="006339E0"/>
    <w:rsid w:val="0063479C"/>
    <w:rsid w:val="006423D6"/>
    <w:rsid w:val="00642C0C"/>
    <w:rsid w:val="00644A82"/>
    <w:rsid w:val="006475C0"/>
    <w:rsid w:val="00650FF3"/>
    <w:rsid w:val="00652C82"/>
    <w:rsid w:val="00660626"/>
    <w:rsid w:val="00665693"/>
    <w:rsid w:val="00667586"/>
    <w:rsid w:val="00667913"/>
    <w:rsid w:val="006679DE"/>
    <w:rsid w:val="00671F47"/>
    <w:rsid w:val="0067258A"/>
    <w:rsid w:val="006803A2"/>
    <w:rsid w:val="00681223"/>
    <w:rsid w:val="0068166C"/>
    <w:rsid w:val="00683FC6"/>
    <w:rsid w:val="006862B5"/>
    <w:rsid w:val="006908F6"/>
    <w:rsid w:val="00692019"/>
    <w:rsid w:val="006920A4"/>
    <w:rsid w:val="00693C5A"/>
    <w:rsid w:val="006967B7"/>
    <w:rsid w:val="00697C34"/>
    <w:rsid w:val="006A2842"/>
    <w:rsid w:val="006A3D0A"/>
    <w:rsid w:val="006A5EAD"/>
    <w:rsid w:val="006A6EB9"/>
    <w:rsid w:val="006B0E9F"/>
    <w:rsid w:val="006B1123"/>
    <w:rsid w:val="006B2619"/>
    <w:rsid w:val="006B261E"/>
    <w:rsid w:val="006B327E"/>
    <w:rsid w:val="006B41F6"/>
    <w:rsid w:val="006B4AE5"/>
    <w:rsid w:val="006B5FFD"/>
    <w:rsid w:val="006B63C9"/>
    <w:rsid w:val="006C1707"/>
    <w:rsid w:val="006C61E8"/>
    <w:rsid w:val="006C77DB"/>
    <w:rsid w:val="006D0D51"/>
    <w:rsid w:val="006D1FB6"/>
    <w:rsid w:val="006D2752"/>
    <w:rsid w:val="006D5212"/>
    <w:rsid w:val="006D6F3A"/>
    <w:rsid w:val="006E3B3D"/>
    <w:rsid w:val="006E5631"/>
    <w:rsid w:val="006F0279"/>
    <w:rsid w:val="006F10FC"/>
    <w:rsid w:val="006F2BD3"/>
    <w:rsid w:val="006F77FB"/>
    <w:rsid w:val="0070173D"/>
    <w:rsid w:val="00701A48"/>
    <w:rsid w:val="0070697D"/>
    <w:rsid w:val="00706C8E"/>
    <w:rsid w:val="0071084A"/>
    <w:rsid w:val="00711C1F"/>
    <w:rsid w:val="007131D4"/>
    <w:rsid w:val="007156A0"/>
    <w:rsid w:val="00715A05"/>
    <w:rsid w:val="007161BA"/>
    <w:rsid w:val="00717154"/>
    <w:rsid w:val="0072660C"/>
    <w:rsid w:val="00727F28"/>
    <w:rsid w:val="00732D85"/>
    <w:rsid w:val="0073459D"/>
    <w:rsid w:val="007404F9"/>
    <w:rsid w:val="00740856"/>
    <w:rsid w:val="00743288"/>
    <w:rsid w:val="0074536D"/>
    <w:rsid w:val="0074538E"/>
    <w:rsid w:val="00746C95"/>
    <w:rsid w:val="007476F9"/>
    <w:rsid w:val="00751B73"/>
    <w:rsid w:val="00752C65"/>
    <w:rsid w:val="007562E7"/>
    <w:rsid w:val="00756FD3"/>
    <w:rsid w:val="00757596"/>
    <w:rsid w:val="00764476"/>
    <w:rsid w:val="00766855"/>
    <w:rsid w:val="00771680"/>
    <w:rsid w:val="00771EDD"/>
    <w:rsid w:val="0077470D"/>
    <w:rsid w:val="00783CAD"/>
    <w:rsid w:val="0078477C"/>
    <w:rsid w:val="007852CC"/>
    <w:rsid w:val="00787151"/>
    <w:rsid w:val="00787ADC"/>
    <w:rsid w:val="00787EFD"/>
    <w:rsid w:val="00791283"/>
    <w:rsid w:val="00791ACD"/>
    <w:rsid w:val="00792F74"/>
    <w:rsid w:val="007A111F"/>
    <w:rsid w:val="007A2A82"/>
    <w:rsid w:val="007A39F2"/>
    <w:rsid w:val="007A4BD8"/>
    <w:rsid w:val="007A511D"/>
    <w:rsid w:val="007A562E"/>
    <w:rsid w:val="007B1D08"/>
    <w:rsid w:val="007B52A3"/>
    <w:rsid w:val="007B59FE"/>
    <w:rsid w:val="007B72F0"/>
    <w:rsid w:val="007C35F1"/>
    <w:rsid w:val="007C5406"/>
    <w:rsid w:val="007C56CC"/>
    <w:rsid w:val="007C6AA7"/>
    <w:rsid w:val="007C6F45"/>
    <w:rsid w:val="007D3BDB"/>
    <w:rsid w:val="007D6633"/>
    <w:rsid w:val="007E1328"/>
    <w:rsid w:val="007E1E9D"/>
    <w:rsid w:val="007E3156"/>
    <w:rsid w:val="007E4F57"/>
    <w:rsid w:val="007E7FAD"/>
    <w:rsid w:val="00801B35"/>
    <w:rsid w:val="00802917"/>
    <w:rsid w:val="00803293"/>
    <w:rsid w:val="00804BA4"/>
    <w:rsid w:val="00805923"/>
    <w:rsid w:val="00807B1A"/>
    <w:rsid w:val="008220F3"/>
    <w:rsid w:val="008232D7"/>
    <w:rsid w:val="00824A5B"/>
    <w:rsid w:val="00825A6C"/>
    <w:rsid w:val="00831D13"/>
    <w:rsid w:val="00832C8C"/>
    <w:rsid w:val="00833CCE"/>
    <w:rsid w:val="00836580"/>
    <w:rsid w:val="0083658D"/>
    <w:rsid w:val="008365C0"/>
    <w:rsid w:val="00836E4F"/>
    <w:rsid w:val="008403FD"/>
    <w:rsid w:val="0084331B"/>
    <w:rsid w:val="0084596C"/>
    <w:rsid w:val="00845AFC"/>
    <w:rsid w:val="008472FD"/>
    <w:rsid w:val="0085290A"/>
    <w:rsid w:val="00852F01"/>
    <w:rsid w:val="008563E0"/>
    <w:rsid w:val="00856405"/>
    <w:rsid w:val="0085726A"/>
    <w:rsid w:val="0086044B"/>
    <w:rsid w:val="00861777"/>
    <w:rsid w:val="0086246D"/>
    <w:rsid w:val="00864D23"/>
    <w:rsid w:val="00865CA6"/>
    <w:rsid w:val="00866210"/>
    <w:rsid w:val="00870AE8"/>
    <w:rsid w:val="00870BAB"/>
    <w:rsid w:val="00870FF1"/>
    <w:rsid w:val="0087666E"/>
    <w:rsid w:val="00876816"/>
    <w:rsid w:val="0088044B"/>
    <w:rsid w:val="00880883"/>
    <w:rsid w:val="00884747"/>
    <w:rsid w:val="00884FA7"/>
    <w:rsid w:val="00885EB9"/>
    <w:rsid w:val="00886458"/>
    <w:rsid w:val="008904A6"/>
    <w:rsid w:val="00892492"/>
    <w:rsid w:val="00892BB2"/>
    <w:rsid w:val="00892DB4"/>
    <w:rsid w:val="00896132"/>
    <w:rsid w:val="00896BAA"/>
    <w:rsid w:val="008A195B"/>
    <w:rsid w:val="008A3293"/>
    <w:rsid w:val="008A3AF9"/>
    <w:rsid w:val="008A4832"/>
    <w:rsid w:val="008A4874"/>
    <w:rsid w:val="008A5B0D"/>
    <w:rsid w:val="008A5C60"/>
    <w:rsid w:val="008A6359"/>
    <w:rsid w:val="008A67D4"/>
    <w:rsid w:val="008A6EAB"/>
    <w:rsid w:val="008B02FD"/>
    <w:rsid w:val="008B37FC"/>
    <w:rsid w:val="008B5527"/>
    <w:rsid w:val="008B5F84"/>
    <w:rsid w:val="008B722B"/>
    <w:rsid w:val="008C0047"/>
    <w:rsid w:val="008C049C"/>
    <w:rsid w:val="008C2862"/>
    <w:rsid w:val="008C316C"/>
    <w:rsid w:val="008C57AC"/>
    <w:rsid w:val="008C797E"/>
    <w:rsid w:val="008D07BF"/>
    <w:rsid w:val="008D0E7E"/>
    <w:rsid w:val="008D74B8"/>
    <w:rsid w:val="008D7F40"/>
    <w:rsid w:val="008E2E2A"/>
    <w:rsid w:val="008E3831"/>
    <w:rsid w:val="008F0D00"/>
    <w:rsid w:val="00900E71"/>
    <w:rsid w:val="00901980"/>
    <w:rsid w:val="00902148"/>
    <w:rsid w:val="00903C36"/>
    <w:rsid w:val="00906EE9"/>
    <w:rsid w:val="009077E7"/>
    <w:rsid w:val="00912AB5"/>
    <w:rsid w:val="00913481"/>
    <w:rsid w:val="009137ED"/>
    <w:rsid w:val="009139B3"/>
    <w:rsid w:val="00916DB7"/>
    <w:rsid w:val="00920018"/>
    <w:rsid w:val="00920718"/>
    <w:rsid w:val="00921B49"/>
    <w:rsid w:val="00923A7D"/>
    <w:rsid w:val="00924E56"/>
    <w:rsid w:val="0092681D"/>
    <w:rsid w:val="0092696D"/>
    <w:rsid w:val="00927486"/>
    <w:rsid w:val="00934820"/>
    <w:rsid w:val="009354BB"/>
    <w:rsid w:val="0093588E"/>
    <w:rsid w:val="00935A0D"/>
    <w:rsid w:val="0094121A"/>
    <w:rsid w:val="00954504"/>
    <w:rsid w:val="00956E10"/>
    <w:rsid w:val="0095709C"/>
    <w:rsid w:val="00957395"/>
    <w:rsid w:val="009573F3"/>
    <w:rsid w:val="0095799B"/>
    <w:rsid w:val="00960B3B"/>
    <w:rsid w:val="009624DE"/>
    <w:rsid w:val="009626EE"/>
    <w:rsid w:val="009673A7"/>
    <w:rsid w:val="009676BE"/>
    <w:rsid w:val="00972A7C"/>
    <w:rsid w:val="009735B9"/>
    <w:rsid w:val="0097700D"/>
    <w:rsid w:val="00981883"/>
    <w:rsid w:val="00981D3A"/>
    <w:rsid w:val="009825F1"/>
    <w:rsid w:val="00984F38"/>
    <w:rsid w:val="00985FD1"/>
    <w:rsid w:val="00986C6D"/>
    <w:rsid w:val="0099249D"/>
    <w:rsid w:val="00995643"/>
    <w:rsid w:val="00995D36"/>
    <w:rsid w:val="00996A11"/>
    <w:rsid w:val="00996B6B"/>
    <w:rsid w:val="009A1A17"/>
    <w:rsid w:val="009A6A21"/>
    <w:rsid w:val="009B024D"/>
    <w:rsid w:val="009B3BE0"/>
    <w:rsid w:val="009B7E03"/>
    <w:rsid w:val="009C0723"/>
    <w:rsid w:val="009C0CDF"/>
    <w:rsid w:val="009C357A"/>
    <w:rsid w:val="009C3B6E"/>
    <w:rsid w:val="009D2E09"/>
    <w:rsid w:val="009D6264"/>
    <w:rsid w:val="009E0B5D"/>
    <w:rsid w:val="009E1735"/>
    <w:rsid w:val="009E2598"/>
    <w:rsid w:val="009E37D3"/>
    <w:rsid w:val="009E394B"/>
    <w:rsid w:val="009E6ABD"/>
    <w:rsid w:val="009E6E70"/>
    <w:rsid w:val="009F096C"/>
    <w:rsid w:val="009F19A7"/>
    <w:rsid w:val="009F4548"/>
    <w:rsid w:val="009F5DC1"/>
    <w:rsid w:val="00A0092E"/>
    <w:rsid w:val="00A01822"/>
    <w:rsid w:val="00A0355E"/>
    <w:rsid w:val="00A06451"/>
    <w:rsid w:val="00A10F1B"/>
    <w:rsid w:val="00A12A49"/>
    <w:rsid w:val="00A13455"/>
    <w:rsid w:val="00A137AE"/>
    <w:rsid w:val="00A14A67"/>
    <w:rsid w:val="00A161F0"/>
    <w:rsid w:val="00A17806"/>
    <w:rsid w:val="00A27A79"/>
    <w:rsid w:val="00A31A9D"/>
    <w:rsid w:val="00A31E40"/>
    <w:rsid w:val="00A32AEB"/>
    <w:rsid w:val="00A32B7C"/>
    <w:rsid w:val="00A33C2C"/>
    <w:rsid w:val="00A34902"/>
    <w:rsid w:val="00A36733"/>
    <w:rsid w:val="00A42328"/>
    <w:rsid w:val="00A45A03"/>
    <w:rsid w:val="00A4688F"/>
    <w:rsid w:val="00A5074E"/>
    <w:rsid w:val="00A50A53"/>
    <w:rsid w:val="00A51AC9"/>
    <w:rsid w:val="00A5207A"/>
    <w:rsid w:val="00A52A1C"/>
    <w:rsid w:val="00A52A6E"/>
    <w:rsid w:val="00A5373A"/>
    <w:rsid w:val="00A56549"/>
    <w:rsid w:val="00A60286"/>
    <w:rsid w:val="00A60317"/>
    <w:rsid w:val="00A625C9"/>
    <w:rsid w:val="00A62837"/>
    <w:rsid w:val="00A62BB2"/>
    <w:rsid w:val="00A63E85"/>
    <w:rsid w:val="00A64059"/>
    <w:rsid w:val="00A6577A"/>
    <w:rsid w:val="00A66661"/>
    <w:rsid w:val="00A66E3F"/>
    <w:rsid w:val="00A72576"/>
    <w:rsid w:val="00A72633"/>
    <w:rsid w:val="00A7402F"/>
    <w:rsid w:val="00A74297"/>
    <w:rsid w:val="00A74AE2"/>
    <w:rsid w:val="00A74FDC"/>
    <w:rsid w:val="00A752DC"/>
    <w:rsid w:val="00A84CA8"/>
    <w:rsid w:val="00A90E56"/>
    <w:rsid w:val="00A91A91"/>
    <w:rsid w:val="00A92BC3"/>
    <w:rsid w:val="00A93A2C"/>
    <w:rsid w:val="00A95E16"/>
    <w:rsid w:val="00AA1EAB"/>
    <w:rsid w:val="00AA2E2A"/>
    <w:rsid w:val="00AA5310"/>
    <w:rsid w:val="00AA572D"/>
    <w:rsid w:val="00AA703A"/>
    <w:rsid w:val="00AA7425"/>
    <w:rsid w:val="00AB26EE"/>
    <w:rsid w:val="00AB7919"/>
    <w:rsid w:val="00AC1A95"/>
    <w:rsid w:val="00AC2EC5"/>
    <w:rsid w:val="00AC503A"/>
    <w:rsid w:val="00AC56AA"/>
    <w:rsid w:val="00AC5E64"/>
    <w:rsid w:val="00AC72C3"/>
    <w:rsid w:val="00AD0226"/>
    <w:rsid w:val="00AD0DA2"/>
    <w:rsid w:val="00AD1C79"/>
    <w:rsid w:val="00AD1F18"/>
    <w:rsid w:val="00AD38A4"/>
    <w:rsid w:val="00AD3C9D"/>
    <w:rsid w:val="00AD5DC7"/>
    <w:rsid w:val="00AE1FBF"/>
    <w:rsid w:val="00AE244B"/>
    <w:rsid w:val="00AF03FE"/>
    <w:rsid w:val="00AF1D9E"/>
    <w:rsid w:val="00AF2880"/>
    <w:rsid w:val="00AF3661"/>
    <w:rsid w:val="00AF3874"/>
    <w:rsid w:val="00AF3E75"/>
    <w:rsid w:val="00AF6303"/>
    <w:rsid w:val="00AF6A53"/>
    <w:rsid w:val="00AF7C85"/>
    <w:rsid w:val="00B0120E"/>
    <w:rsid w:val="00B0125D"/>
    <w:rsid w:val="00B0456F"/>
    <w:rsid w:val="00B07BF1"/>
    <w:rsid w:val="00B1115F"/>
    <w:rsid w:val="00B11A77"/>
    <w:rsid w:val="00B13A1F"/>
    <w:rsid w:val="00B13A91"/>
    <w:rsid w:val="00B13F76"/>
    <w:rsid w:val="00B23C1C"/>
    <w:rsid w:val="00B27A4C"/>
    <w:rsid w:val="00B339CB"/>
    <w:rsid w:val="00B4158F"/>
    <w:rsid w:val="00B42D7D"/>
    <w:rsid w:val="00B47294"/>
    <w:rsid w:val="00B50523"/>
    <w:rsid w:val="00B51485"/>
    <w:rsid w:val="00B53313"/>
    <w:rsid w:val="00B62D85"/>
    <w:rsid w:val="00B65446"/>
    <w:rsid w:val="00B664E4"/>
    <w:rsid w:val="00B66FFE"/>
    <w:rsid w:val="00B70C0E"/>
    <w:rsid w:val="00B70E9D"/>
    <w:rsid w:val="00B72F30"/>
    <w:rsid w:val="00B75C5A"/>
    <w:rsid w:val="00B8114A"/>
    <w:rsid w:val="00B8329B"/>
    <w:rsid w:val="00B85D95"/>
    <w:rsid w:val="00B92A25"/>
    <w:rsid w:val="00B9500E"/>
    <w:rsid w:val="00B9526A"/>
    <w:rsid w:val="00BA5B1A"/>
    <w:rsid w:val="00BA74CC"/>
    <w:rsid w:val="00BA7D44"/>
    <w:rsid w:val="00BB0805"/>
    <w:rsid w:val="00BB4EF5"/>
    <w:rsid w:val="00BB4FF5"/>
    <w:rsid w:val="00BC23EA"/>
    <w:rsid w:val="00BC2736"/>
    <w:rsid w:val="00BC2761"/>
    <w:rsid w:val="00BC3D1C"/>
    <w:rsid w:val="00BC4EDE"/>
    <w:rsid w:val="00BD2E72"/>
    <w:rsid w:val="00BD7BD3"/>
    <w:rsid w:val="00BD7D1D"/>
    <w:rsid w:val="00BE0A90"/>
    <w:rsid w:val="00BE48B1"/>
    <w:rsid w:val="00BF19A7"/>
    <w:rsid w:val="00BF2221"/>
    <w:rsid w:val="00BF2A13"/>
    <w:rsid w:val="00BF5073"/>
    <w:rsid w:val="00BF543E"/>
    <w:rsid w:val="00BF563C"/>
    <w:rsid w:val="00BF58C8"/>
    <w:rsid w:val="00C01730"/>
    <w:rsid w:val="00C02021"/>
    <w:rsid w:val="00C05B2C"/>
    <w:rsid w:val="00C10F10"/>
    <w:rsid w:val="00C11B84"/>
    <w:rsid w:val="00C1595A"/>
    <w:rsid w:val="00C15DE8"/>
    <w:rsid w:val="00C1629B"/>
    <w:rsid w:val="00C21B84"/>
    <w:rsid w:val="00C253E3"/>
    <w:rsid w:val="00C27567"/>
    <w:rsid w:val="00C316E9"/>
    <w:rsid w:val="00C32313"/>
    <w:rsid w:val="00C32861"/>
    <w:rsid w:val="00C33EA1"/>
    <w:rsid w:val="00C34DE2"/>
    <w:rsid w:val="00C35006"/>
    <w:rsid w:val="00C3725F"/>
    <w:rsid w:val="00C4002A"/>
    <w:rsid w:val="00C43AD5"/>
    <w:rsid w:val="00C449C6"/>
    <w:rsid w:val="00C613F4"/>
    <w:rsid w:val="00C623B8"/>
    <w:rsid w:val="00C65B52"/>
    <w:rsid w:val="00C73FC4"/>
    <w:rsid w:val="00C759CA"/>
    <w:rsid w:val="00C83075"/>
    <w:rsid w:val="00C832F8"/>
    <w:rsid w:val="00C841AD"/>
    <w:rsid w:val="00C87F17"/>
    <w:rsid w:val="00C9071B"/>
    <w:rsid w:val="00C91DE9"/>
    <w:rsid w:val="00C94076"/>
    <w:rsid w:val="00C97BAF"/>
    <w:rsid w:val="00CB3AD3"/>
    <w:rsid w:val="00CC0160"/>
    <w:rsid w:val="00CC1445"/>
    <w:rsid w:val="00CC1986"/>
    <w:rsid w:val="00CC2B98"/>
    <w:rsid w:val="00CC36BD"/>
    <w:rsid w:val="00CC6F30"/>
    <w:rsid w:val="00CD2D55"/>
    <w:rsid w:val="00CD3602"/>
    <w:rsid w:val="00CD3D91"/>
    <w:rsid w:val="00CD73D0"/>
    <w:rsid w:val="00CD74A3"/>
    <w:rsid w:val="00CE65A7"/>
    <w:rsid w:val="00CE6A99"/>
    <w:rsid w:val="00CE6C7B"/>
    <w:rsid w:val="00CE7739"/>
    <w:rsid w:val="00CF0DF0"/>
    <w:rsid w:val="00CF105C"/>
    <w:rsid w:val="00CF170D"/>
    <w:rsid w:val="00CF2713"/>
    <w:rsid w:val="00CF3169"/>
    <w:rsid w:val="00CF5BDF"/>
    <w:rsid w:val="00CF73F5"/>
    <w:rsid w:val="00CF7B1E"/>
    <w:rsid w:val="00CF7B5B"/>
    <w:rsid w:val="00D0145F"/>
    <w:rsid w:val="00D0205B"/>
    <w:rsid w:val="00D0363E"/>
    <w:rsid w:val="00D03DB6"/>
    <w:rsid w:val="00D11102"/>
    <w:rsid w:val="00D12794"/>
    <w:rsid w:val="00D12A26"/>
    <w:rsid w:val="00D1304F"/>
    <w:rsid w:val="00D13C7D"/>
    <w:rsid w:val="00D144B9"/>
    <w:rsid w:val="00D159C9"/>
    <w:rsid w:val="00D2307E"/>
    <w:rsid w:val="00D25A2D"/>
    <w:rsid w:val="00D26141"/>
    <w:rsid w:val="00D328FC"/>
    <w:rsid w:val="00D33319"/>
    <w:rsid w:val="00D33ECC"/>
    <w:rsid w:val="00D40F19"/>
    <w:rsid w:val="00D41A4E"/>
    <w:rsid w:val="00D42F38"/>
    <w:rsid w:val="00D4391F"/>
    <w:rsid w:val="00D45CDA"/>
    <w:rsid w:val="00D54479"/>
    <w:rsid w:val="00D56E3F"/>
    <w:rsid w:val="00D5737D"/>
    <w:rsid w:val="00D61945"/>
    <w:rsid w:val="00D62546"/>
    <w:rsid w:val="00D6267D"/>
    <w:rsid w:val="00D65E2D"/>
    <w:rsid w:val="00D72890"/>
    <w:rsid w:val="00D72E53"/>
    <w:rsid w:val="00D76489"/>
    <w:rsid w:val="00D816F9"/>
    <w:rsid w:val="00D81AD3"/>
    <w:rsid w:val="00D83899"/>
    <w:rsid w:val="00D9417A"/>
    <w:rsid w:val="00D95A3E"/>
    <w:rsid w:val="00D9637D"/>
    <w:rsid w:val="00DA0F59"/>
    <w:rsid w:val="00DA1CED"/>
    <w:rsid w:val="00DA72E1"/>
    <w:rsid w:val="00DA768E"/>
    <w:rsid w:val="00DB0697"/>
    <w:rsid w:val="00DB301B"/>
    <w:rsid w:val="00DB5243"/>
    <w:rsid w:val="00DC191E"/>
    <w:rsid w:val="00DC30F1"/>
    <w:rsid w:val="00DC393B"/>
    <w:rsid w:val="00DC4254"/>
    <w:rsid w:val="00DC7445"/>
    <w:rsid w:val="00DD31C8"/>
    <w:rsid w:val="00DD32D5"/>
    <w:rsid w:val="00DD3D35"/>
    <w:rsid w:val="00DD4CDB"/>
    <w:rsid w:val="00DD5AA2"/>
    <w:rsid w:val="00DD6DE4"/>
    <w:rsid w:val="00DE2E26"/>
    <w:rsid w:val="00DE3142"/>
    <w:rsid w:val="00DE6AB3"/>
    <w:rsid w:val="00DE7395"/>
    <w:rsid w:val="00DF588F"/>
    <w:rsid w:val="00DF6702"/>
    <w:rsid w:val="00E01000"/>
    <w:rsid w:val="00E03DB8"/>
    <w:rsid w:val="00E04FCD"/>
    <w:rsid w:val="00E054AA"/>
    <w:rsid w:val="00E06A36"/>
    <w:rsid w:val="00E109E7"/>
    <w:rsid w:val="00E129F7"/>
    <w:rsid w:val="00E14241"/>
    <w:rsid w:val="00E14322"/>
    <w:rsid w:val="00E152C3"/>
    <w:rsid w:val="00E15878"/>
    <w:rsid w:val="00E22BF3"/>
    <w:rsid w:val="00E23602"/>
    <w:rsid w:val="00E2557D"/>
    <w:rsid w:val="00E2609D"/>
    <w:rsid w:val="00E27D69"/>
    <w:rsid w:val="00E30069"/>
    <w:rsid w:val="00E318AC"/>
    <w:rsid w:val="00E34613"/>
    <w:rsid w:val="00E35BBA"/>
    <w:rsid w:val="00E36CE5"/>
    <w:rsid w:val="00E41358"/>
    <w:rsid w:val="00E42DCB"/>
    <w:rsid w:val="00E46385"/>
    <w:rsid w:val="00E51E09"/>
    <w:rsid w:val="00E54105"/>
    <w:rsid w:val="00E554B5"/>
    <w:rsid w:val="00E564A9"/>
    <w:rsid w:val="00E60228"/>
    <w:rsid w:val="00E626F0"/>
    <w:rsid w:val="00E64448"/>
    <w:rsid w:val="00E65EBA"/>
    <w:rsid w:val="00E67FCA"/>
    <w:rsid w:val="00E70942"/>
    <w:rsid w:val="00E76F9F"/>
    <w:rsid w:val="00E82A07"/>
    <w:rsid w:val="00E9050B"/>
    <w:rsid w:val="00E9094D"/>
    <w:rsid w:val="00E90ECE"/>
    <w:rsid w:val="00E91E12"/>
    <w:rsid w:val="00E92777"/>
    <w:rsid w:val="00E92F9D"/>
    <w:rsid w:val="00E938F3"/>
    <w:rsid w:val="00E93C0A"/>
    <w:rsid w:val="00E95967"/>
    <w:rsid w:val="00E95FC3"/>
    <w:rsid w:val="00EA12D9"/>
    <w:rsid w:val="00EA1E08"/>
    <w:rsid w:val="00EA25E3"/>
    <w:rsid w:val="00EA3329"/>
    <w:rsid w:val="00EB098B"/>
    <w:rsid w:val="00EB50CC"/>
    <w:rsid w:val="00EB5627"/>
    <w:rsid w:val="00EB6F4E"/>
    <w:rsid w:val="00EC1121"/>
    <w:rsid w:val="00EC4554"/>
    <w:rsid w:val="00EC5ED3"/>
    <w:rsid w:val="00ED0C20"/>
    <w:rsid w:val="00ED1E0C"/>
    <w:rsid w:val="00ED2368"/>
    <w:rsid w:val="00ED3760"/>
    <w:rsid w:val="00ED47EE"/>
    <w:rsid w:val="00ED7616"/>
    <w:rsid w:val="00EE0AF9"/>
    <w:rsid w:val="00EE1853"/>
    <w:rsid w:val="00EE2A42"/>
    <w:rsid w:val="00EF2C89"/>
    <w:rsid w:val="00EF3223"/>
    <w:rsid w:val="00F02A4A"/>
    <w:rsid w:val="00F06661"/>
    <w:rsid w:val="00F104DB"/>
    <w:rsid w:val="00F12993"/>
    <w:rsid w:val="00F17C7E"/>
    <w:rsid w:val="00F21158"/>
    <w:rsid w:val="00F217D4"/>
    <w:rsid w:val="00F22AFA"/>
    <w:rsid w:val="00F22DF4"/>
    <w:rsid w:val="00F24BC4"/>
    <w:rsid w:val="00F2638A"/>
    <w:rsid w:val="00F26675"/>
    <w:rsid w:val="00F36724"/>
    <w:rsid w:val="00F40027"/>
    <w:rsid w:val="00F408CF"/>
    <w:rsid w:val="00F41824"/>
    <w:rsid w:val="00F42F9A"/>
    <w:rsid w:val="00F43805"/>
    <w:rsid w:val="00F44F4F"/>
    <w:rsid w:val="00F53021"/>
    <w:rsid w:val="00F531FE"/>
    <w:rsid w:val="00F54FEB"/>
    <w:rsid w:val="00F55528"/>
    <w:rsid w:val="00F5740E"/>
    <w:rsid w:val="00F6194A"/>
    <w:rsid w:val="00F644AF"/>
    <w:rsid w:val="00F66023"/>
    <w:rsid w:val="00F701ED"/>
    <w:rsid w:val="00F7217A"/>
    <w:rsid w:val="00F72CDA"/>
    <w:rsid w:val="00F73DE9"/>
    <w:rsid w:val="00F751D2"/>
    <w:rsid w:val="00F775A2"/>
    <w:rsid w:val="00F8215E"/>
    <w:rsid w:val="00F83312"/>
    <w:rsid w:val="00F86D9B"/>
    <w:rsid w:val="00F951AB"/>
    <w:rsid w:val="00FA1765"/>
    <w:rsid w:val="00FA2E04"/>
    <w:rsid w:val="00FA4C4F"/>
    <w:rsid w:val="00FA592D"/>
    <w:rsid w:val="00FB3D55"/>
    <w:rsid w:val="00FC460E"/>
    <w:rsid w:val="00FC53A4"/>
    <w:rsid w:val="00FD2379"/>
    <w:rsid w:val="00FD45C0"/>
    <w:rsid w:val="00FE20DF"/>
    <w:rsid w:val="00FE6789"/>
    <w:rsid w:val="00FE6815"/>
    <w:rsid w:val="00FF4020"/>
    <w:rsid w:val="00FF5FFD"/>
    <w:rsid w:val="00FF651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EAB"/>
    <w:pPr>
      <w:widowControl w:val="0"/>
      <w:autoSpaceDE w:val="0"/>
      <w:autoSpaceDN w:val="0"/>
      <w:bidi/>
      <w:adjustRightInd w:val="0"/>
      <w:spacing w:before="102" w:line="204" w:lineRule="atLeast"/>
      <w:ind w:firstLine="340"/>
      <w:jc w:val="both"/>
      <w:textAlignment w:val="center"/>
    </w:pPr>
    <w:rPr>
      <w:rFonts w:ascii="Hadasa Roso SL" w:eastAsia="MS Mincho"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Text">
    <w:name w:val="Table Text"/>
    <w:basedOn w:val="a"/>
    <w:link w:val="TableText0"/>
    <w:rsid w:val="008A6EAB"/>
    <w:pPr>
      <w:keepLines/>
      <w:tabs>
        <w:tab w:val="left" w:pos="624"/>
        <w:tab w:val="left" w:pos="1247"/>
      </w:tabs>
      <w:snapToGrid w:val="0"/>
      <w:spacing w:before="0" w:line="360" w:lineRule="auto"/>
      <w:ind w:right="57" w:firstLine="0"/>
      <w:jc w:val="left"/>
    </w:pPr>
    <w:rPr>
      <w:rFonts w:ascii="Arial" w:eastAsia="Arial Unicode MS" w:hAnsi="Arial" w:cs="David"/>
      <w:spacing w:val="0"/>
      <w:sz w:val="20"/>
      <w:szCs w:val="26"/>
    </w:rPr>
  </w:style>
  <w:style w:type="paragraph" w:customStyle="1" w:styleId="TableSideHeading">
    <w:name w:val="Table SideHeading"/>
    <w:basedOn w:val="TableText"/>
    <w:rsid w:val="008A6EAB"/>
  </w:style>
  <w:style w:type="paragraph" w:customStyle="1" w:styleId="TableBlock">
    <w:name w:val="Table Block"/>
    <w:basedOn w:val="TableText"/>
    <w:link w:val="TableBlock0"/>
    <w:rsid w:val="008A6EAB"/>
    <w:pPr>
      <w:ind w:right="0"/>
      <w:jc w:val="both"/>
    </w:pPr>
  </w:style>
  <w:style w:type="paragraph" w:customStyle="1" w:styleId="TableHead">
    <w:name w:val="Table Head"/>
    <w:basedOn w:val="TableText"/>
    <w:rsid w:val="008A6EAB"/>
    <w:pPr>
      <w:ind w:right="0"/>
      <w:jc w:val="center"/>
    </w:pPr>
    <w:rPr>
      <w:b/>
      <w:bCs/>
    </w:rPr>
  </w:style>
  <w:style w:type="paragraph" w:customStyle="1" w:styleId="HeadMitparsemetBaze">
    <w:name w:val="Head MitparsemetBaze"/>
    <w:basedOn w:val="a"/>
    <w:rsid w:val="008A6EAB"/>
    <w:pPr>
      <w:keepNext/>
      <w:keepLines/>
      <w:pageBreakBefore/>
      <w:snapToGrid w:val="0"/>
      <w:spacing w:before="480" w:line="360" w:lineRule="auto"/>
      <w:ind w:firstLine="0"/>
    </w:pPr>
    <w:rPr>
      <w:rFonts w:ascii="Arial" w:eastAsia="Arial Unicode MS" w:hAnsi="Arial" w:cs="David"/>
      <w:b/>
      <w:bCs/>
      <w:spacing w:val="0"/>
      <w:sz w:val="20"/>
      <w:szCs w:val="26"/>
    </w:rPr>
  </w:style>
  <w:style w:type="paragraph" w:customStyle="1" w:styleId="HeadHatzaotHok">
    <w:name w:val="Head HatzaotHok"/>
    <w:basedOn w:val="a"/>
    <w:rsid w:val="008A6EAB"/>
    <w:pPr>
      <w:keepNext/>
      <w:keepLines/>
      <w:snapToGrid w:val="0"/>
      <w:spacing w:before="240" w:line="360" w:lineRule="auto"/>
      <w:ind w:firstLine="0"/>
      <w:jc w:val="center"/>
    </w:pPr>
    <w:rPr>
      <w:rFonts w:ascii="Arial" w:eastAsia="Arial Unicode MS" w:hAnsi="Arial" w:cs="David"/>
      <w:b/>
      <w:bCs/>
      <w:spacing w:val="0"/>
      <w:sz w:val="20"/>
      <w:szCs w:val="26"/>
    </w:rPr>
  </w:style>
  <w:style w:type="paragraph" w:customStyle="1" w:styleId="HesberWriters">
    <w:name w:val="Hesber Writers"/>
    <w:basedOn w:val="Hesber"/>
    <w:rsid w:val="008A6EAB"/>
    <w:pPr>
      <w:spacing w:before="120" w:after="6000"/>
      <w:ind w:left="1418" w:firstLine="0"/>
      <w:jc w:val="right"/>
    </w:pPr>
    <w:rPr>
      <w:b/>
      <w:bCs/>
    </w:rPr>
  </w:style>
  <w:style w:type="paragraph" w:customStyle="1" w:styleId="Hesber1st">
    <w:name w:val="Hesber 1st"/>
    <w:basedOn w:val="Hesber"/>
    <w:rsid w:val="008A6EAB"/>
    <w:pPr>
      <w:tabs>
        <w:tab w:val="left" w:pos="680"/>
        <w:tab w:val="left" w:pos="1020"/>
      </w:tabs>
      <w:ind w:firstLine="0"/>
    </w:pPr>
  </w:style>
  <w:style w:type="paragraph" w:customStyle="1" w:styleId="HeadDivreiHesber">
    <w:name w:val="Head DivreiHesber"/>
    <w:basedOn w:val="a"/>
    <w:rsid w:val="008A6EAB"/>
    <w:pPr>
      <w:snapToGrid w:val="0"/>
      <w:spacing w:before="360" w:after="120" w:line="360" w:lineRule="auto"/>
      <w:ind w:firstLine="0"/>
      <w:jc w:val="center"/>
    </w:pPr>
    <w:rPr>
      <w:rFonts w:ascii="Arial" w:eastAsia="Arial Unicode MS" w:hAnsi="Arial" w:cs="David"/>
      <w:b/>
      <w:spacing w:val="40"/>
      <w:sz w:val="20"/>
      <w:szCs w:val="26"/>
    </w:rPr>
  </w:style>
  <w:style w:type="paragraph" w:customStyle="1" w:styleId="HeadHatzaotHok4Futer">
    <w:name w:val="Head HatzaotHok4Futer"/>
    <w:basedOn w:val="HeadHatzaotHok"/>
    <w:rsid w:val="008A6EAB"/>
    <w:pPr>
      <w:spacing w:before="120" w:after="120"/>
    </w:pPr>
    <w:rPr>
      <w:color w:val="FF0000"/>
      <w:w w:val="80"/>
    </w:rPr>
  </w:style>
  <w:style w:type="paragraph" w:styleId="a3">
    <w:name w:val="endnote text"/>
    <w:basedOn w:val="a"/>
    <w:link w:val="EndnoteTextChar"/>
    <w:uiPriority w:val="99"/>
    <w:semiHidden/>
    <w:rsid w:val="008A6EAB"/>
    <w:pPr>
      <w:ind w:left="227" w:hanging="227"/>
    </w:pPr>
    <w:rPr>
      <w:sz w:val="14"/>
      <w:szCs w:val="22"/>
    </w:rPr>
  </w:style>
  <w:style w:type="character" w:customStyle="1" w:styleId="EndnoteTextChar">
    <w:name w:val="Endnote Text Char"/>
    <w:basedOn w:val="a0"/>
    <w:link w:val="a3"/>
    <w:uiPriority w:val="99"/>
    <w:semiHidden/>
    <w:locked/>
    <w:rsid w:val="008A6EAB"/>
    <w:rPr>
      <w:rFonts w:ascii="Hadasa Roso SL" w:eastAsia="MS Mincho" w:hAnsi="Hadasa Roso SL" w:cs="Times New Roman"/>
      <w:color w:val="000000"/>
      <w:spacing w:val="1"/>
      <w:sz w:val="14"/>
      <w:lang w:val="x-none" w:eastAsia="ja-JP"/>
    </w:rPr>
  </w:style>
  <w:style w:type="paragraph" w:customStyle="1" w:styleId="Hesber">
    <w:name w:val="Hesber"/>
    <w:basedOn w:val="a"/>
    <w:rsid w:val="008A6EAB"/>
    <w:pPr>
      <w:snapToGrid w:val="0"/>
      <w:spacing w:before="0" w:line="360" w:lineRule="auto"/>
    </w:pPr>
    <w:rPr>
      <w:rFonts w:ascii="Arial" w:eastAsia="Arial Unicode MS" w:hAnsi="Arial" w:cs="David"/>
      <w:spacing w:val="0"/>
      <w:sz w:val="20"/>
      <w:szCs w:val="26"/>
    </w:rPr>
  </w:style>
  <w:style w:type="paragraph" w:customStyle="1" w:styleId="TableInnerSideHeading">
    <w:name w:val="Table InnerSideHeading"/>
    <w:basedOn w:val="TableSideHeading"/>
    <w:rsid w:val="008A6EAB"/>
  </w:style>
  <w:style w:type="paragraph" w:styleId="a4">
    <w:name w:val="footnote text"/>
    <w:basedOn w:val="a"/>
    <w:link w:val="FootnoteTextChar"/>
    <w:autoRedefine/>
    <w:uiPriority w:val="99"/>
    <w:rsid w:val="008A6EAB"/>
    <w:pPr>
      <w:snapToGrid w:val="0"/>
      <w:spacing w:before="0" w:line="240" w:lineRule="auto"/>
      <w:ind w:left="227" w:hanging="227"/>
      <w:jc w:val="left"/>
    </w:pPr>
    <w:rPr>
      <w:rFonts w:ascii="Arial" w:eastAsia="Arial Unicode MS" w:hAnsi="Arial" w:cs="David"/>
      <w:spacing w:val="0"/>
      <w:sz w:val="14"/>
      <w:szCs w:val="20"/>
    </w:rPr>
  </w:style>
  <w:style w:type="character" w:customStyle="1" w:styleId="FootnoteTextChar">
    <w:name w:val="Footnote Text Char"/>
    <w:basedOn w:val="a0"/>
    <w:link w:val="a4"/>
    <w:uiPriority w:val="99"/>
    <w:locked/>
    <w:rsid w:val="008A6EAB"/>
    <w:rPr>
      <w:rFonts w:ascii="Arial" w:eastAsia="Arial Unicode MS" w:hAnsi="Arial" w:cs="Times New Roman"/>
      <w:color w:val="000000"/>
      <w:sz w:val="20"/>
      <w:lang w:val="x-none" w:eastAsia="ja-JP"/>
    </w:rPr>
  </w:style>
  <w:style w:type="paragraph" w:customStyle="1" w:styleId="HesberHeading">
    <w:name w:val="Hesber Heading"/>
    <w:basedOn w:val="Hesber"/>
    <w:rsid w:val="008A6EAB"/>
    <w:pPr>
      <w:tabs>
        <w:tab w:val="left" w:pos="624"/>
        <w:tab w:val="left" w:pos="1247"/>
      </w:tabs>
      <w:ind w:firstLine="0"/>
    </w:pPr>
    <w:rPr>
      <w:b/>
      <w:bCs/>
    </w:rPr>
  </w:style>
  <w:style w:type="character" w:styleId="a5">
    <w:name w:val="footnote reference"/>
    <w:basedOn w:val="a0"/>
    <w:uiPriority w:val="99"/>
    <w:rsid w:val="008A6EAB"/>
    <w:rPr>
      <w:rFonts w:cs="Times New Roman"/>
      <w:vertAlign w:val="superscript"/>
    </w:rPr>
  </w:style>
  <w:style w:type="character" w:styleId="a6">
    <w:name w:val="endnote reference"/>
    <w:basedOn w:val="a0"/>
    <w:uiPriority w:val="99"/>
    <w:semiHidden/>
    <w:rsid w:val="008A6EAB"/>
    <w:rPr>
      <w:rFonts w:cs="Times New Roman"/>
      <w:vertAlign w:val="superscript"/>
    </w:rPr>
  </w:style>
  <w:style w:type="paragraph" w:customStyle="1" w:styleId="TableBlockOutdent">
    <w:name w:val="Table BlockOutdent"/>
    <w:basedOn w:val="TableBlock"/>
    <w:rsid w:val="008A6EAB"/>
    <w:pPr>
      <w:ind w:left="624" w:hanging="624"/>
    </w:pPr>
  </w:style>
  <w:style w:type="paragraph" w:styleId="a7">
    <w:name w:val="header"/>
    <w:basedOn w:val="a"/>
    <w:link w:val="HeaderChar"/>
    <w:rsid w:val="008A6EAB"/>
    <w:pPr>
      <w:tabs>
        <w:tab w:val="center" w:pos="4153"/>
        <w:tab w:val="right" w:pos="8306"/>
      </w:tabs>
    </w:pPr>
  </w:style>
  <w:style w:type="character" w:customStyle="1" w:styleId="HeaderChar">
    <w:name w:val="Header Char"/>
    <w:basedOn w:val="a0"/>
    <w:link w:val="a7"/>
    <w:uiPriority w:val="99"/>
    <w:locked/>
    <w:rsid w:val="008A6EAB"/>
    <w:rPr>
      <w:rFonts w:ascii="Hadasa Roso SL" w:eastAsia="MS Mincho" w:hAnsi="Hadasa Roso SL" w:cs="Times New Roman"/>
      <w:color w:val="000000"/>
      <w:spacing w:val="1"/>
      <w:sz w:val="17"/>
      <w:lang w:val="x-none" w:eastAsia="ja-JP"/>
    </w:rPr>
  </w:style>
  <w:style w:type="character" w:styleId="a8">
    <w:name w:val="page number"/>
    <w:basedOn w:val="a0"/>
    <w:uiPriority w:val="99"/>
    <w:rsid w:val="008A6EAB"/>
    <w:rPr>
      <w:rFonts w:cs="Times New Roman"/>
    </w:rPr>
  </w:style>
  <w:style w:type="paragraph" w:styleId="a9">
    <w:name w:val="footer"/>
    <w:basedOn w:val="a"/>
    <w:link w:val="FooterChar"/>
    <w:uiPriority w:val="99"/>
    <w:rsid w:val="008A6EAB"/>
    <w:pPr>
      <w:tabs>
        <w:tab w:val="center" w:pos="4153"/>
        <w:tab w:val="right" w:pos="8306"/>
      </w:tabs>
    </w:pPr>
  </w:style>
  <w:style w:type="character" w:customStyle="1" w:styleId="FooterChar">
    <w:name w:val="Footer Char"/>
    <w:basedOn w:val="a0"/>
    <w:link w:val="a9"/>
    <w:uiPriority w:val="99"/>
    <w:locked/>
    <w:rsid w:val="008A6EAB"/>
    <w:rPr>
      <w:rFonts w:ascii="Hadasa Roso SL" w:eastAsia="MS Mincho" w:hAnsi="Hadasa Roso SL" w:cs="Times New Roman"/>
      <w:color w:val="000000"/>
      <w:spacing w:val="1"/>
      <w:sz w:val="17"/>
      <w:lang w:val="x-none" w:eastAsia="ja-JP"/>
    </w:rPr>
  </w:style>
  <w:style w:type="paragraph" w:customStyle="1" w:styleId="Cover1-Reshumot">
    <w:name w:val="Cover 1-Reshumot"/>
    <w:basedOn w:val="a"/>
    <w:rsid w:val="008A6EAB"/>
    <w:pPr>
      <w:tabs>
        <w:tab w:val="left" w:pos="1191"/>
        <w:tab w:val="left" w:pos="1587"/>
      </w:tabs>
      <w:snapToGrid w:val="0"/>
      <w:spacing w:before="240" w:after="240" w:line="480" w:lineRule="auto"/>
      <w:ind w:firstLine="0"/>
      <w:jc w:val="center"/>
    </w:pPr>
    <w:rPr>
      <w:rFonts w:ascii="Arial" w:eastAsia="Arial Unicode MS" w:hAnsi="Arial" w:cs="David"/>
      <w:spacing w:val="0"/>
      <w:sz w:val="20"/>
      <w:szCs w:val="26"/>
    </w:rPr>
  </w:style>
  <w:style w:type="paragraph" w:customStyle="1" w:styleId="Cover2-HatzaotHok">
    <w:name w:val="Cover 2-HatzaotHok"/>
    <w:basedOn w:val="Cover1-Reshumot"/>
    <w:rsid w:val="008A6EAB"/>
    <w:rPr>
      <w:sz w:val="36"/>
      <w:szCs w:val="52"/>
    </w:rPr>
  </w:style>
  <w:style w:type="paragraph" w:customStyle="1" w:styleId="Cover3-Haknesset">
    <w:name w:val="Cover 3-Haknesset"/>
    <w:basedOn w:val="Cover1-Reshumot"/>
    <w:rsid w:val="008A6EAB"/>
    <w:rPr>
      <w:b/>
      <w:bCs/>
      <w:spacing w:val="60"/>
    </w:rPr>
  </w:style>
  <w:style w:type="paragraph" w:customStyle="1" w:styleId="Cover4-Date">
    <w:name w:val="Cover 4-Date"/>
    <w:basedOn w:val="a"/>
    <w:rsid w:val="008A6EAB"/>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pacing w:val="0"/>
      <w:sz w:val="20"/>
      <w:szCs w:val="26"/>
    </w:rPr>
  </w:style>
  <w:style w:type="paragraph" w:customStyle="1" w:styleId="Ragil">
    <w:name w:val="Ragil"/>
    <w:basedOn w:val="a"/>
    <w:rsid w:val="008A6EAB"/>
    <w:pPr>
      <w:snapToGrid w:val="0"/>
      <w:spacing w:before="0" w:line="360" w:lineRule="auto"/>
      <w:jc w:val="left"/>
    </w:pPr>
    <w:rPr>
      <w:rFonts w:ascii="Arial" w:eastAsia="Arial Unicode MS" w:hAnsi="Arial" w:cs="David"/>
      <w:spacing w:val="0"/>
      <w:sz w:val="20"/>
      <w:szCs w:val="26"/>
    </w:rPr>
  </w:style>
  <w:style w:type="paragraph" w:styleId="aa">
    <w:name w:val="List Paragraph"/>
    <w:basedOn w:val="a"/>
    <w:link w:val="ListParagraphChar"/>
    <w:uiPriority w:val="34"/>
    <w:qFormat/>
    <w:rsid w:val="008A6EAB"/>
    <w:pPr>
      <w:widowControl/>
      <w:autoSpaceDE/>
      <w:autoSpaceDN/>
      <w:adjustRightInd/>
      <w:spacing w:before="0" w:line="240" w:lineRule="auto"/>
      <w:ind w:left="720" w:firstLine="0"/>
      <w:contextualSpacing/>
      <w:jc w:val="left"/>
      <w:textAlignment w:val="auto"/>
    </w:pPr>
    <w:rPr>
      <w:rFonts w:ascii="Times New Roman" w:eastAsia="Times New Roman" w:hAnsi="Times New Roman" w:cs="David"/>
      <w:color w:val="auto"/>
      <w:spacing w:val="0"/>
      <w:sz w:val="24"/>
      <w:szCs w:val="26"/>
      <w:lang w:eastAsia="en-US"/>
    </w:rPr>
  </w:style>
  <w:style w:type="character" w:styleId="ab">
    <w:name w:val="annotation reference"/>
    <w:basedOn w:val="a0"/>
    <w:uiPriority w:val="99"/>
    <w:rsid w:val="008A6EAB"/>
    <w:rPr>
      <w:rFonts w:cs="Times New Roman"/>
      <w:sz w:val="16"/>
    </w:rPr>
  </w:style>
  <w:style w:type="paragraph" w:styleId="ac">
    <w:name w:val="annotation text"/>
    <w:basedOn w:val="a"/>
    <w:link w:val="CommentTextChar"/>
    <w:uiPriority w:val="99"/>
    <w:rsid w:val="008A6EAB"/>
    <w:pPr>
      <w:widowControl/>
      <w:autoSpaceDE/>
      <w:autoSpaceDN/>
      <w:adjustRightInd/>
      <w:spacing w:before="0" w:line="240" w:lineRule="auto"/>
      <w:ind w:firstLine="0"/>
      <w:jc w:val="left"/>
      <w:textAlignment w:val="auto"/>
    </w:pPr>
    <w:rPr>
      <w:rFonts w:ascii="Times New Roman" w:eastAsia="Times New Roman" w:hAnsi="Times New Roman" w:cs="David"/>
      <w:color w:val="auto"/>
      <w:spacing w:val="0"/>
      <w:sz w:val="20"/>
      <w:szCs w:val="20"/>
      <w:lang w:eastAsia="en-US"/>
    </w:rPr>
  </w:style>
  <w:style w:type="character" w:customStyle="1" w:styleId="CommentTextChar">
    <w:name w:val="Comment Text Char"/>
    <w:basedOn w:val="a0"/>
    <w:link w:val="ac"/>
    <w:uiPriority w:val="99"/>
    <w:locked/>
    <w:rsid w:val="008A6EAB"/>
    <w:rPr>
      <w:rFonts w:ascii="Times New Roman" w:hAnsi="Times New Roman" w:cs="Times New Roman"/>
      <w:sz w:val="20"/>
    </w:rPr>
  </w:style>
  <w:style w:type="paragraph" w:styleId="ad">
    <w:name w:val="annotation subject"/>
    <w:basedOn w:val="ac"/>
    <w:next w:val="ac"/>
    <w:link w:val="CommentSubjectChar"/>
    <w:uiPriority w:val="99"/>
    <w:semiHidden/>
    <w:unhideWhenUsed/>
    <w:rsid w:val="008A6EAB"/>
    <w:pPr>
      <w:widowControl w:val="0"/>
      <w:autoSpaceDE w:val="0"/>
      <w:autoSpaceDN w:val="0"/>
      <w:adjustRightInd w:val="0"/>
      <w:spacing w:before="102"/>
      <w:ind w:firstLine="340"/>
      <w:jc w:val="both"/>
      <w:textAlignment w:val="center"/>
    </w:pPr>
    <w:rPr>
      <w:rFonts w:ascii="Hadasa Roso SL" w:eastAsia="MS Mincho" w:hAnsi="Hadasa Roso SL" w:cs="Hadasa Roso SL"/>
      <w:b/>
      <w:bCs/>
      <w:color w:val="000000"/>
      <w:spacing w:val="1"/>
      <w:lang w:eastAsia="ja-JP"/>
    </w:rPr>
  </w:style>
  <w:style w:type="character" w:customStyle="1" w:styleId="CommentSubjectChar">
    <w:name w:val="Comment Subject Char"/>
    <w:basedOn w:val="CommentTextChar"/>
    <w:link w:val="ad"/>
    <w:uiPriority w:val="99"/>
    <w:semiHidden/>
    <w:locked/>
    <w:rsid w:val="008A6EAB"/>
    <w:rPr>
      <w:rFonts w:ascii="Hadasa Roso SL" w:eastAsia="MS Mincho" w:hAnsi="Hadasa Roso SL" w:cs="Times New Roman"/>
      <w:b/>
      <w:color w:val="000000"/>
      <w:spacing w:val="1"/>
      <w:sz w:val="20"/>
      <w:lang w:val="x-none" w:eastAsia="ja-JP"/>
    </w:rPr>
  </w:style>
  <w:style w:type="paragraph" w:styleId="ae">
    <w:name w:val="Balloon Text"/>
    <w:basedOn w:val="a"/>
    <w:link w:val="BalloonTextChar"/>
    <w:uiPriority w:val="99"/>
    <w:semiHidden/>
    <w:unhideWhenUsed/>
    <w:rsid w:val="008A6EAB"/>
    <w:pPr>
      <w:spacing w:before="0" w:line="240" w:lineRule="auto"/>
    </w:pPr>
    <w:rPr>
      <w:rFonts w:ascii="Tahoma" w:hAnsi="Tahoma" w:cs="Tahoma"/>
      <w:sz w:val="16"/>
      <w:szCs w:val="16"/>
    </w:rPr>
  </w:style>
  <w:style w:type="character" w:customStyle="1" w:styleId="BalloonTextChar">
    <w:name w:val="Balloon Text Char"/>
    <w:basedOn w:val="a0"/>
    <w:link w:val="ae"/>
    <w:uiPriority w:val="99"/>
    <w:semiHidden/>
    <w:locked/>
    <w:rsid w:val="008A6EAB"/>
    <w:rPr>
      <w:rFonts w:ascii="Tahoma" w:eastAsia="MS Mincho" w:hAnsi="Tahoma" w:cs="Times New Roman"/>
      <w:color w:val="000000"/>
      <w:spacing w:val="1"/>
      <w:sz w:val="16"/>
      <w:lang w:val="x-none" w:eastAsia="ja-JP"/>
    </w:rPr>
  </w:style>
  <w:style w:type="paragraph" w:customStyle="1" w:styleId="footnote">
    <w:name w:val="footnote"/>
    <w:basedOn w:val="a"/>
    <w:rsid w:val="008A6EAB"/>
    <w:pPr>
      <w:suppressAutoHyphens/>
      <w:adjustRightInd/>
      <w:spacing w:before="0" w:line="240" w:lineRule="auto"/>
      <w:ind w:left="2835" w:firstLine="0"/>
      <w:textAlignment w:val="auto"/>
    </w:pPr>
    <w:rPr>
      <w:rFonts w:ascii="Times New Roman" w:eastAsia="Times New Roman" w:hAnsi="Times New Roman" w:cs="Times New Roman"/>
      <w:noProof/>
      <w:color w:val="auto"/>
      <w:spacing w:val="0"/>
      <w:sz w:val="22"/>
      <w:szCs w:val="22"/>
      <w:lang w:eastAsia="he-IL"/>
    </w:rPr>
  </w:style>
  <w:style w:type="character" w:customStyle="1" w:styleId="default">
    <w:name w:val="default"/>
    <w:rsid w:val="00C9071B"/>
    <w:rPr>
      <w:rFonts w:ascii="Times New Roman" w:hAnsi="Times New Roman"/>
      <w:sz w:val="26"/>
    </w:rPr>
  </w:style>
  <w:style w:type="table" w:styleId="af">
    <w:name w:val="Table Grid"/>
    <w:basedOn w:val="a1"/>
    <w:uiPriority w:val="59"/>
    <w:rsid w:val="00E92777"/>
    <w:pPr>
      <w:jc w:val="both"/>
    </w:pPr>
    <w:rPr>
      <w:rFonts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00">
    <w:name w:val="P00"/>
    <w:rsid w:val="008A5C60"/>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ascii="Times New Roman" w:hAnsi="Times New Roman" w:cs="Times New Roman"/>
      <w:noProof/>
      <w:szCs w:val="26"/>
      <w:lang w:eastAsia="he-IL"/>
    </w:rPr>
  </w:style>
  <w:style w:type="character" w:styleId="Hyperlink">
    <w:name w:val="Hyperlink"/>
    <w:basedOn w:val="a0"/>
    <w:uiPriority w:val="99"/>
    <w:rsid w:val="00A66E3F"/>
    <w:rPr>
      <w:rFonts w:cs="Times New Roman"/>
      <w:color w:val="0000FF"/>
      <w:u w:val="single"/>
    </w:rPr>
  </w:style>
  <w:style w:type="character" w:styleId="FollowedHyperlink">
    <w:name w:val="FollowedHyperlink"/>
    <w:basedOn w:val="a0"/>
    <w:uiPriority w:val="99"/>
    <w:semiHidden/>
    <w:unhideWhenUsed/>
    <w:rsid w:val="00A66E3F"/>
    <w:rPr>
      <w:rFonts w:cs="Times New Roman"/>
      <w:color w:val="800080"/>
      <w:u w:val="single"/>
    </w:rPr>
  </w:style>
  <w:style w:type="paragraph" w:customStyle="1" w:styleId="P22">
    <w:name w:val="P22"/>
    <w:basedOn w:val="P00"/>
    <w:rsid w:val="00237DF7"/>
    <w:pPr>
      <w:tabs>
        <w:tab w:val="clear" w:pos="624"/>
        <w:tab w:val="clear" w:pos="1021"/>
      </w:tabs>
      <w:ind w:right="1021"/>
    </w:pPr>
  </w:style>
  <w:style w:type="paragraph" w:customStyle="1" w:styleId="P11">
    <w:name w:val="P11"/>
    <w:basedOn w:val="P00"/>
    <w:rsid w:val="00237DF7"/>
    <w:pPr>
      <w:tabs>
        <w:tab w:val="clear" w:pos="624"/>
      </w:tabs>
      <w:ind w:right="624"/>
    </w:pPr>
  </w:style>
  <w:style w:type="paragraph" w:styleId="af0">
    <w:name w:val="Revision"/>
    <w:hidden/>
    <w:uiPriority w:val="99"/>
    <w:semiHidden/>
    <w:rsid w:val="00BF563C"/>
    <w:rPr>
      <w:rFonts w:ascii="Hadasa Roso SL" w:eastAsia="MS Mincho" w:hAnsi="Hadasa Roso SL" w:cs="Hadasa Roso SL"/>
      <w:color w:val="000000"/>
      <w:spacing w:val="1"/>
      <w:sz w:val="17"/>
      <w:szCs w:val="17"/>
      <w:lang w:eastAsia="ja-JP"/>
    </w:rPr>
  </w:style>
  <w:style w:type="character" w:customStyle="1" w:styleId="TableText0">
    <w:name w:val="Table Text תו"/>
    <w:link w:val="TableText"/>
    <w:locked/>
    <w:rsid w:val="00BB4EF5"/>
    <w:rPr>
      <w:rFonts w:ascii="Arial" w:eastAsia="Arial Unicode MS" w:hAnsi="Arial" w:cs="David"/>
      <w:color w:val="000000"/>
      <w:szCs w:val="26"/>
      <w:lang w:eastAsia="ja-JP"/>
    </w:rPr>
  </w:style>
  <w:style w:type="character" w:customStyle="1" w:styleId="TableBlock0">
    <w:name w:val="Table Block תו"/>
    <w:link w:val="TableBlock"/>
    <w:locked/>
    <w:rsid w:val="00BB4EF5"/>
    <w:rPr>
      <w:rFonts w:ascii="Arial" w:eastAsia="Arial Unicode MS" w:hAnsi="Arial" w:cs="David"/>
      <w:color w:val="000000"/>
      <w:szCs w:val="26"/>
      <w:lang w:eastAsia="ja-JP"/>
    </w:rPr>
  </w:style>
  <w:style w:type="paragraph" w:customStyle="1" w:styleId="Noparagraphstyle">
    <w:name w:val="[No paragraph style]"/>
    <w:rsid w:val="00A10F1B"/>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character" w:customStyle="1" w:styleId="ListParagraphChar">
    <w:name w:val="List Paragraph Char"/>
    <w:basedOn w:val="a0"/>
    <w:link w:val="aa"/>
    <w:uiPriority w:val="34"/>
    <w:locked/>
    <w:rsid w:val="00372203"/>
    <w:rPr>
      <w:rFonts w:ascii="Times New Roman" w:hAnsi="Times New Roman" w:cs="David"/>
      <w:sz w:val="24"/>
      <w:szCs w:val="26"/>
    </w:rPr>
  </w:style>
  <w:style w:type="character" w:styleId="af1">
    <w:name w:val="Emphasis"/>
    <w:basedOn w:val="a0"/>
    <w:uiPriority w:val="20"/>
    <w:qFormat/>
    <w:rsid w:val="00650FF3"/>
    <w:rPr>
      <w:i/>
      <w:iCs/>
    </w:rPr>
  </w:style>
  <w:style w:type="character" w:customStyle="1" w:styleId="apple-converted-space">
    <w:name w:val="apple-converted-space"/>
    <w:basedOn w:val="a0"/>
    <w:rsid w:val="00650FF3"/>
  </w:style>
  <w:style w:type="paragraph" w:customStyle="1" w:styleId="p220">
    <w:name w:val="p22"/>
    <w:basedOn w:val="a"/>
    <w:rsid w:val="00F7217A"/>
    <w:pPr>
      <w:widowControl/>
      <w:autoSpaceDE/>
      <w:autoSpaceDN/>
      <w:bidi w:val="0"/>
      <w:adjustRightInd/>
      <w:spacing w:before="100" w:beforeAutospacing="1" w:after="100" w:afterAutospacing="1" w:line="240" w:lineRule="auto"/>
      <w:ind w:firstLine="0"/>
      <w:jc w:val="left"/>
      <w:textAlignment w:val="auto"/>
    </w:pPr>
    <w:rPr>
      <w:rFonts w:ascii="Times New Roman" w:eastAsia="Times New Roman" w:hAnsi="Times New Roman" w:cs="Times New Roman"/>
      <w:color w:val="auto"/>
      <w:spacing w:val="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EAB"/>
    <w:pPr>
      <w:widowControl w:val="0"/>
      <w:autoSpaceDE w:val="0"/>
      <w:autoSpaceDN w:val="0"/>
      <w:bidi/>
      <w:adjustRightInd w:val="0"/>
      <w:spacing w:before="102" w:line="204" w:lineRule="atLeast"/>
      <w:ind w:firstLine="340"/>
      <w:jc w:val="both"/>
      <w:textAlignment w:val="center"/>
    </w:pPr>
    <w:rPr>
      <w:rFonts w:ascii="Hadasa Roso SL" w:eastAsia="MS Mincho"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Text">
    <w:name w:val="Table Text"/>
    <w:basedOn w:val="a"/>
    <w:link w:val="TableText0"/>
    <w:rsid w:val="008A6EAB"/>
    <w:pPr>
      <w:keepLines/>
      <w:tabs>
        <w:tab w:val="left" w:pos="624"/>
        <w:tab w:val="left" w:pos="1247"/>
      </w:tabs>
      <w:snapToGrid w:val="0"/>
      <w:spacing w:before="0" w:line="360" w:lineRule="auto"/>
      <w:ind w:right="57" w:firstLine="0"/>
      <w:jc w:val="left"/>
    </w:pPr>
    <w:rPr>
      <w:rFonts w:ascii="Arial" w:eastAsia="Arial Unicode MS" w:hAnsi="Arial" w:cs="David"/>
      <w:spacing w:val="0"/>
      <w:sz w:val="20"/>
      <w:szCs w:val="26"/>
    </w:rPr>
  </w:style>
  <w:style w:type="paragraph" w:customStyle="1" w:styleId="TableSideHeading">
    <w:name w:val="Table SideHeading"/>
    <w:basedOn w:val="TableText"/>
    <w:rsid w:val="008A6EAB"/>
  </w:style>
  <w:style w:type="paragraph" w:customStyle="1" w:styleId="TableBlock">
    <w:name w:val="Table Block"/>
    <w:basedOn w:val="TableText"/>
    <w:link w:val="TableBlock0"/>
    <w:rsid w:val="008A6EAB"/>
    <w:pPr>
      <w:ind w:right="0"/>
      <w:jc w:val="both"/>
    </w:pPr>
  </w:style>
  <w:style w:type="paragraph" w:customStyle="1" w:styleId="TableHead">
    <w:name w:val="Table Head"/>
    <w:basedOn w:val="TableText"/>
    <w:rsid w:val="008A6EAB"/>
    <w:pPr>
      <w:ind w:right="0"/>
      <w:jc w:val="center"/>
    </w:pPr>
    <w:rPr>
      <w:b/>
      <w:bCs/>
    </w:rPr>
  </w:style>
  <w:style w:type="paragraph" w:customStyle="1" w:styleId="HeadMitparsemetBaze">
    <w:name w:val="Head MitparsemetBaze"/>
    <w:basedOn w:val="a"/>
    <w:rsid w:val="008A6EAB"/>
    <w:pPr>
      <w:keepNext/>
      <w:keepLines/>
      <w:pageBreakBefore/>
      <w:snapToGrid w:val="0"/>
      <w:spacing w:before="480" w:line="360" w:lineRule="auto"/>
      <w:ind w:firstLine="0"/>
    </w:pPr>
    <w:rPr>
      <w:rFonts w:ascii="Arial" w:eastAsia="Arial Unicode MS" w:hAnsi="Arial" w:cs="David"/>
      <w:b/>
      <w:bCs/>
      <w:spacing w:val="0"/>
      <w:sz w:val="20"/>
      <w:szCs w:val="26"/>
    </w:rPr>
  </w:style>
  <w:style w:type="paragraph" w:customStyle="1" w:styleId="HeadHatzaotHok">
    <w:name w:val="Head HatzaotHok"/>
    <w:basedOn w:val="a"/>
    <w:rsid w:val="008A6EAB"/>
    <w:pPr>
      <w:keepNext/>
      <w:keepLines/>
      <w:snapToGrid w:val="0"/>
      <w:spacing w:before="240" w:line="360" w:lineRule="auto"/>
      <w:ind w:firstLine="0"/>
      <w:jc w:val="center"/>
    </w:pPr>
    <w:rPr>
      <w:rFonts w:ascii="Arial" w:eastAsia="Arial Unicode MS" w:hAnsi="Arial" w:cs="David"/>
      <w:b/>
      <w:bCs/>
      <w:spacing w:val="0"/>
      <w:sz w:val="20"/>
      <w:szCs w:val="26"/>
    </w:rPr>
  </w:style>
  <w:style w:type="paragraph" w:customStyle="1" w:styleId="HesberWriters">
    <w:name w:val="Hesber Writers"/>
    <w:basedOn w:val="Hesber"/>
    <w:rsid w:val="008A6EAB"/>
    <w:pPr>
      <w:spacing w:before="120" w:after="6000"/>
      <w:ind w:left="1418" w:firstLine="0"/>
      <w:jc w:val="right"/>
    </w:pPr>
    <w:rPr>
      <w:b/>
      <w:bCs/>
    </w:rPr>
  </w:style>
  <w:style w:type="paragraph" w:customStyle="1" w:styleId="Hesber1st">
    <w:name w:val="Hesber 1st"/>
    <w:basedOn w:val="Hesber"/>
    <w:rsid w:val="008A6EAB"/>
    <w:pPr>
      <w:tabs>
        <w:tab w:val="left" w:pos="680"/>
        <w:tab w:val="left" w:pos="1020"/>
      </w:tabs>
      <w:ind w:firstLine="0"/>
    </w:pPr>
  </w:style>
  <w:style w:type="paragraph" w:customStyle="1" w:styleId="HeadDivreiHesber">
    <w:name w:val="Head DivreiHesber"/>
    <w:basedOn w:val="a"/>
    <w:rsid w:val="008A6EAB"/>
    <w:pPr>
      <w:snapToGrid w:val="0"/>
      <w:spacing w:before="360" w:after="120" w:line="360" w:lineRule="auto"/>
      <w:ind w:firstLine="0"/>
      <w:jc w:val="center"/>
    </w:pPr>
    <w:rPr>
      <w:rFonts w:ascii="Arial" w:eastAsia="Arial Unicode MS" w:hAnsi="Arial" w:cs="David"/>
      <w:b/>
      <w:spacing w:val="40"/>
      <w:sz w:val="20"/>
      <w:szCs w:val="26"/>
    </w:rPr>
  </w:style>
  <w:style w:type="paragraph" w:customStyle="1" w:styleId="HeadHatzaotHok4Futer">
    <w:name w:val="Head HatzaotHok4Futer"/>
    <w:basedOn w:val="HeadHatzaotHok"/>
    <w:rsid w:val="008A6EAB"/>
    <w:pPr>
      <w:spacing w:before="120" w:after="120"/>
    </w:pPr>
    <w:rPr>
      <w:color w:val="FF0000"/>
      <w:w w:val="80"/>
    </w:rPr>
  </w:style>
  <w:style w:type="paragraph" w:styleId="a3">
    <w:name w:val="endnote text"/>
    <w:basedOn w:val="a"/>
    <w:link w:val="EndnoteTextChar"/>
    <w:uiPriority w:val="99"/>
    <w:semiHidden/>
    <w:rsid w:val="008A6EAB"/>
    <w:pPr>
      <w:ind w:left="227" w:hanging="227"/>
    </w:pPr>
    <w:rPr>
      <w:sz w:val="14"/>
      <w:szCs w:val="22"/>
    </w:rPr>
  </w:style>
  <w:style w:type="character" w:customStyle="1" w:styleId="EndnoteTextChar">
    <w:name w:val="Endnote Text Char"/>
    <w:basedOn w:val="a0"/>
    <w:link w:val="a3"/>
    <w:uiPriority w:val="99"/>
    <w:semiHidden/>
    <w:locked/>
    <w:rsid w:val="008A6EAB"/>
    <w:rPr>
      <w:rFonts w:ascii="Hadasa Roso SL" w:eastAsia="MS Mincho" w:hAnsi="Hadasa Roso SL" w:cs="Times New Roman"/>
      <w:color w:val="000000"/>
      <w:spacing w:val="1"/>
      <w:sz w:val="14"/>
      <w:lang w:val="x-none" w:eastAsia="ja-JP"/>
    </w:rPr>
  </w:style>
  <w:style w:type="paragraph" w:customStyle="1" w:styleId="Hesber">
    <w:name w:val="Hesber"/>
    <w:basedOn w:val="a"/>
    <w:rsid w:val="008A6EAB"/>
    <w:pPr>
      <w:snapToGrid w:val="0"/>
      <w:spacing w:before="0" w:line="360" w:lineRule="auto"/>
    </w:pPr>
    <w:rPr>
      <w:rFonts w:ascii="Arial" w:eastAsia="Arial Unicode MS" w:hAnsi="Arial" w:cs="David"/>
      <w:spacing w:val="0"/>
      <w:sz w:val="20"/>
      <w:szCs w:val="26"/>
    </w:rPr>
  </w:style>
  <w:style w:type="paragraph" w:customStyle="1" w:styleId="TableInnerSideHeading">
    <w:name w:val="Table InnerSideHeading"/>
    <w:basedOn w:val="TableSideHeading"/>
    <w:rsid w:val="008A6EAB"/>
  </w:style>
  <w:style w:type="paragraph" w:styleId="a4">
    <w:name w:val="footnote text"/>
    <w:basedOn w:val="a"/>
    <w:link w:val="FootnoteTextChar"/>
    <w:autoRedefine/>
    <w:uiPriority w:val="99"/>
    <w:rsid w:val="008A6EAB"/>
    <w:pPr>
      <w:snapToGrid w:val="0"/>
      <w:spacing w:before="0" w:line="240" w:lineRule="auto"/>
      <w:ind w:left="227" w:hanging="227"/>
      <w:jc w:val="left"/>
    </w:pPr>
    <w:rPr>
      <w:rFonts w:ascii="Arial" w:eastAsia="Arial Unicode MS" w:hAnsi="Arial" w:cs="David"/>
      <w:spacing w:val="0"/>
      <w:sz w:val="14"/>
      <w:szCs w:val="20"/>
    </w:rPr>
  </w:style>
  <w:style w:type="character" w:customStyle="1" w:styleId="FootnoteTextChar">
    <w:name w:val="Footnote Text Char"/>
    <w:basedOn w:val="a0"/>
    <w:link w:val="a4"/>
    <w:uiPriority w:val="99"/>
    <w:locked/>
    <w:rsid w:val="008A6EAB"/>
    <w:rPr>
      <w:rFonts w:ascii="Arial" w:eastAsia="Arial Unicode MS" w:hAnsi="Arial" w:cs="Times New Roman"/>
      <w:color w:val="000000"/>
      <w:sz w:val="20"/>
      <w:lang w:val="x-none" w:eastAsia="ja-JP"/>
    </w:rPr>
  </w:style>
  <w:style w:type="paragraph" w:customStyle="1" w:styleId="HesberHeading">
    <w:name w:val="Hesber Heading"/>
    <w:basedOn w:val="Hesber"/>
    <w:rsid w:val="008A6EAB"/>
    <w:pPr>
      <w:tabs>
        <w:tab w:val="left" w:pos="624"/>
        <w:tab w:val="left" w:pos="1247"/>
      </w:tabs>
      <w:ind w:firstLine="0"/>
    </w:pPr>
    <w:rPr>
      <w:b/>
      <w:bCs/>
    </w:rPr>
  </w:style>
  <w:style w:type="character" w:styleId="a5">
    <w:name w:val="footnote reference"/>
    <w:basedOn w:val="a0"/>
    <w:uiPriority w:val="99"/>
    <w:rsid w:val="008A6EAB"/>
    <w:rPr>
      <w:rFonts w:cs="Times New Roman"/>
      <w:vertAlign w:val="superscript"/>
    </w:rPr>
  </w:style>
  <w:style w:type="character" w:styleId="a6">
    <w:name w:val="endnote reference"/>
    <w:basedOn w:val="a0"/>
    <w:uiPriority w:val="99"/>
    <w:semiHidden/>
    <w:rsid w:val="008A6EAB"/>
    <w:rPr>
      <w:rFonts w:cs="Times New Roman"/>
      <w:vertAlign w:val="superscript"/>
    </w:rPr>
  </w:style>
  <w:style w:type="paragraph" w:customStyle="1" w:styleId="TableBlockOutdent">
    <w:name w:val="Table BlockOutdent"/>
    <w:basedOn w:val="TableBlock"/>
    <w:rsid w:val="008A6EAB"/>
    <w:pPr>
      <w:ind w:left="624" w:hanging="624"/>
    </w:pPr>
  </w:style>
  <w:style w:type="paragraph" w:styleId="a7">
    <w:name w:val="header"/>
    <w:basedOn w:val="a"/>
    <w:link w:val="HeaderChar"/>
    <w:rsid w:val="008A6EAB"/>
    <w:pPr>
      <w:tabs>
        <w:tab w:val="center" w:pos="4153"/>
        <w:tab w:val="right" w:pos="8306"/>
      </w:tabs>
    </w:pPr>
  </w:style>
  <w:style w:type="character" w:customStyle="1" w:styleId="HeaderChar">
    <w:name w:val="Header Char"/>
    <w:basedOn w:val="a0"/>
    <w:link w:val="a7"/>
    <w:uiPriority w:val="99"/>
    <w:locked/>
    <w:rsid w:val="008A6EAB"/>
    <w:rPr>
      <w:rFonts w:ascii="Hadasa Roso SL" w:eastAsia="MS Mincho" w:hAnsi="Hadasa Roso SL" w:cs="Times New Roman"/>
      <w:color w:val="000000"/>
      <w:spacing w:val="1"/>
      <w:sz w:val="17"/>
      <w:lang w:val="x-none" w:eastAsia="ja-JP"/>
    </w:rPr>
  </w:style>
  <w:style w:type="character" w:styleId="a8">
    <w:name w:val="page number"/>
    <w:basedOn w:val="a0"/>
    <w:uiPriority w:val="99"/>
    <w:rsid w:val="008A6EAB"/>
    <w:rPr>
      <w:rFonts w:cs="Times New Roman"/>
    </w:rPr>
  </w:style>
  <w:style w:type="paragraph" w:styleId="a9">
    <w:name w:val="footer"/>
    <w:basedOn w:val="a"/>
    <w:link w:val="FooterChar"/>
    <w:uiPriority w:val="99"/>
    <w:rsid w:val="008A6EAB"/>
    <w:pPr>
      <w:tabs>
        <w:tab w:val="center" w:pos="4153"/>
        <w:tab w:val="right" w:pos="8306"/>
      </w:tabs>
    </w:pPr>
  </w:style>
  <w:style w:type="character" w:customStyle="1" w:styleId="FooterChar">
    <w:name w:val="Footer Char"/>
    <w:basedOn w:val="a0"/>
    <w:link w:val="a9"/>
    <w:uiPriority w:val="99"/>
    <w:locked/>
    <w:rsid w:val="008A6EAB"/>
    <w:rPr>
      <w:rFonts w:ascii="Hadasa Roso SL" w:eastAsia="MS Mincho" w:hAnsi="Hadasa Roso SL" w:cs="Times New Roman"/>
      <w:color w:val="000000"/>
      <w:spacing w:val="1"/>
      <w:sz w:val="17"/>
      <w:lang w:val="x-none" w:eastAsia="ja-JP"/>
    </w:rPr>
  </w:style>
  <w:style w:type="paragraph" w:customStyle="1" w:styleId="Cover1-Reshumot">
    <w:name w:val="Cover 1-Reshumot"/>
    <w:basedOn w:val="a"/>
    <w:rsid w:val="008A6EAB"/>
    <w:pPr>
      <w:tabs>
        <w:tab w:val="left" w:pos="1191"/>
        <w:tab w:val="left" w:pos="1587"/>
      </w:tabs>
      <w:snapToGrid w:val="0"/>
      <w:spacing w:before="240" w:after="240" w:line="480" w:lineRule="auto"/>
      <w:ind w:firstLine="0"/>
      <w:jc w:val="center"/>
    </w:pPr>
    <w:rPr>
      <w:rFonts w:ascii="Arial" w:eastAsia="Arial Unicode MS" w:hAnsi="Arial" w:cs="David"/>
      <w:spacing w:val="0"/>
      <w:sz w:val="20"/>
      <w:szCs w:val="26"/>
    </w:rPr>
  </w:style>
  <w:style w:type="paragraph" w:customStyle="1" w:styleId="Cover2-HatzaotHok">
    <w:name w:val="Cover 2-HatzaotHok"/>
    <w:basedOn w:val="Cover1-Reshumot"/>
    <w:rsid w:val="008A6EAB"/>
    <w:rPr>
      <w:sz w:val="36"/>
      <w:szCs w:val="52"/>
    </w:rPr>
  </w:style>
  <w:style w:type="paragraph" w:customStyle="1" w:styleId="Cover3-Haknesset">
    <w:name w:val="Cover 3-Haknesset"/>
    <w:basedOn w:val="Cover1-Reshumot"/>
    <w:rsid w:val="008A6EAB"/>
    <w:rPr>
      <w:b/>
      <w:bCs/>
      <w:spacing w:val="60"/>
    </w:rPr>
  </w:style>
  <w:style w:type="paragraph" w:customStyle="1" w:styleId="Cover4-Date">
    <w:name w:val="Cover 4-Date"/>
    <w:basedOn w:val="a"/>
    <w:rsid w:val="008A6EAB"/>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pacing w:val="0"/>
      <w:sz w:val="20"/>
      <w:szCs w:val="26"/>
    </w:rPr>
  </w:style>
  <w:style w:type="paragraph" w:customStyle="1" w:styleId="Ragil">
    <w:name w:val="Ragil"/>
    <w:basedOn w:val="a"/>
    <w:rsid w:val="008A6EAB"/>
    <w:pPr>
      <w:snapToGrid w:val="0"/>
      <w:spacing w:before="0" w:line="360" w:lineRule="auto"/>
      <w:jc w:val="left"/>
    </w:pPr>
    <w:rPr>
      <w:rFonts w:ascii="Arial" w:eastAsia="Arial Unicode MS" w:hAnsi="Arial" w:cs="David"/>
      <w:spacing w:val="0"/>
      <w:sz w:val="20"/>
      <w:szCs w:val="26"/>
    </w:rPr>
  </w:style>
  <w:style w:type="paragraph" w:styleId="aa">
    <w:name w:val="List Paragraph"/>
    <w:basedOn w:val="a"/>
    <w:link w:val="ListParagraphChar"/>
    <w:uiPriority w:val="34"/>
    <w:qFormat/>
    <w:rsid w:val="008A6EAB"/>
    <w:pPr>
      <w:widowControl/>
      <w:autoSpaceDE/>
      <w:autoSpaceDN/>
      <w:adjustRightInd/>
      <w:spacing w:before="0" w:line="240" w:lineRule="auto"/>
      <w:ind w:left="720" w:firstLine="0"/>
      <w:contextualSpacing/>
      <w:jc w:val="left"/>
      <w:textAlignment w:val="auto"/>
    </w:pPr>
    <w:rPr>
      <w:rFonts w:ascii="Times New Roman" w:eastAsia="Times New Roman" w:hAnsi="Times New Roman" w:cs="David"/>
      <w:color w:val="auto"/>
      <w:spacing w:val="0"/>
      <w:sz w:val="24"/>
      <w:szCs w:val="26"/>
      <w:lang w:eastAsia="en-US"/>
    </w:rPr>
  </w:style>
  <w:style w:type="character" w:styleId="ab">
    <w:name w:val="annotation reference"/>
    <w:basedOn w:val="a0"/>
    <w:uiPriority w:val="99"/>
    <w:rsid w:val="008A6EAB"/>
    <w:rPr>
      <w:rFonts w:cs="Times New Roman"/>
      <w:sz w:val="16"/>
    </w:rPr>
  </w:style>
  <w:style w:type="paragraph" w:styleId="ac">
    <w:name w:val="annotation text"/>
    <w:basedOn w:val="a"/>
    <w:link w:val="CommentTextChar"/>
    <w:uiPriority w:val="99"/>
    <w:rsid w:val="008A6EAB"/>
    <w:pPr>
      <w:widowControl/>
      <w:autoSpaceDE/>
      <w:autoSpaceDN/>
      <w:adjustRightInd/>
      <w:spacing w:before="0" w:line="240" w:lineRule="auto"/>
      <w:ind w:firstLine="0"/>
      <w:jc w:val="left"/>
      <w:textAlignment w:val="auto"/>
    </w:pPr>
    <w:rPr>
      <w:rFonts w:ascii="Times New Roman" w:eastAsia="Times New Roman" w:hAnsi="Times New Roman" w:cs="David"/>
      <w:color w:val="auto"/>
      <w:spacing w:val="0"/>
      <w:sz w:val="20"/>
      <w:szCs w:val="20"/>
      <w:lang w:eastAsia="en-US"/>
    </w:rPr>
  </w:style>
  <w:style w:type="character" w:customStyle="1" w:styleId="CommentTextChar">
    <w:name w:val="Comment Text Char"/>
    <w:basedOn w:val="a0"/>
    <w:link w:val="ac"/>
    <w:uiPriority w:val="99"/>
    <w:locked/>
    <w:rsid w:val="008A6EAB"/>
    <w:rPr>
      <w:rFonts w:ascii="Times New Roman" w:hAnsi="Times New Roman" w:cs="Times New Roman"/>
      <w:sz w:val="20"/>
    </w:rPr>
  </w:style>
  <w:style w:type="paragraph" w:styleId="ad">
    <w:name w:val="annotation subject"/>
    <w:basedOn w:val="ac"/>
    <w:next w:val="ac"/>
    <w:link w:val="CommentSubjectChar"/>
    <w:uiPriority w:val="99"/>
    <w:semiHidden/>
    <w:unhideWhenUsed/>
    <w:rsid w:val="008A6EAB"/>
    <w:pPr>
      <w:widowControl w:val="0"/>
      <w:autoSpaceDE w:val="0"/>
      <w:autoSpaceDN w:val="0"/>
      <w:adjustRightInd w:val="0"/>
      <w:spacing w:before="102"/>
      <w:ind w:firstLine="340"/>
      <w:jc w:val="both"/>
      <w:textAlignment w:val="center"/>
    </w:pPr>
    <w:rPr>
      <w:rFonts w:ascii="Hadasa Roso SL" w:eastAsia="MS Mincho" w:hAnsi="Hadasa Roso SL" w:cs="Hadasa Roso SL"/>
      <w:b/>
      <w:bCs/>
      <w:color w:val="000000"/>
      <w:spacing w:val="1"/>
      <w:lang w:eastAsia="ja-JP"/>
    </w:rPr>
  </w:style>
  <w:style w:type="character" w:customStyle="1" w:styleId="CommentSubjectChar">
    <w:name w:val="Comment Subject Char"/>
    <w:basedOn w:val="CommentTextChar"/>
    <w:link w:val="ad"/>
    <w:uiPriority w:val="99"/>
    <w:semiHidden/>
    <w:locked/>
    <w:rsid w:val="008A6EAB"/>
    <w:rPr>
      <w:rFonts w:ascii="Hadasa Roso SL" w:eastAsia="MS Mincho" w:hAnsi="Hadasa Roso SL" w:cs="Times New Roman"/>
      <w:b/>
      <w:color w:val="000000"/>
      <w:spacing w:val="1"/>
      <w:sz w:val="20"/>
      <w:lang w:val="x-none" w:eastAsia="ja-JP"/>
    </w:rPr>
  </w:style>
  <w:style w:type="paragraph" w:styleId="ae">
    <w:name w:val="Balloon Text"/>
    <w:basedOn w:val="a"/>
    <w:link w:val="BalloonTextChar"/>
    <w:uiPriority w:val="99"/>
    <w:semiHidden/>
    <w:unhideWhenUsed/>
    <w:rsid w:val="008A6EAB"/>
    <w:pPr>
      <w:spacing w:before="0" w:line="240" w:lineRule="auto"/>
    </w:pPr>
    <w:rPr>
      <w:rFonts w:ascii="Tahoma" w:hAnsi="Tahoma" w:cs="Tahoma"/>
      <w:sz w:val="16"/>
      <w:szCs w:val="16"/>
    </w:rPr>
  </w:style>
  <w:style w:type="character" w:customStyle="1" w:styleId="BalloonTextChar">
    <w:name w:val="Balloon Text Char"/>
    <w:basedOn w:val="a0"/>
    <w:link w:val="ae"/>
    <w:uiPriority w:val="99"/>
    <w:semiHidden/>
    <w:locked/>
    <w:rsid w:val="008A6EAB"/>
    <w:rPr>
      <w:rFonts w:ascii="Tahoma" w:eastAsia="MS Mincho" w:hAnsi="Tahoma" w:cs="Times New Roman"/>
      <w:color w:val="000000"/>
      <w:spacing w:val="1"/>
      <w:sz w:val="16"/>
      <w:lang w:val="x-none" w:eastAsia="ja-JP"/>
    </w:rPr>
  </w:style>
  <w:style w:type="paragraph" w:customStyle="1" w:styleId="footnote">
    <w:name w:val="footnote"/>
    <w:basedOn w:val="a"/>
    <w:rsid w:val="008A6EAB"/>
    <w:pPr>
      <w:suppressAutoHyphens/>
      <w:adjustRightInd/>
      <w:spacing w:before="0" w:line="240" w:lineRule="auto"/>
      <w:ind w:left="2835" w:firstLine="0"/>
      <w:textAlignment w:val="auto"/>
    </w:pPr>
    <w:rPr>
      <w:rFonts w:ascii="Times New Roman" w:eastAsia="Times New Roman" w:hAnsi="Times New Roman" w:cs="Times New Roman"/>
      <w:noProof/>
      <w:color w:val="auto"/>
      <w:spacing w:val="0"/>
      <w:sz w:val="22"/>
      <w:szCs w:val="22"/>
      <w:lang w:eastAsia="he-IL"/>
    </w:rPr>
  </w:style>
  <w:style w:type="character" w:customStyle="1" w:styleId="default">
    <w:name w:val="default"/>
    <w:rsid w:val="00C9071B"/>
    <w:rPr>
      <w:rFonts w:ascii="Times New Roman" w:hAnsi="Times New Roman"/>
      <w:sz w:val="26"/>
    </w:rPr>
  </w:style>
  <w:style w:type="table" w:styleId="af">
    <w:name w:val="Table Grid"/>
    <w:basedOn w:val="a1"/>
    <w:uiPriority w:val="59"/>
    <w:rsid w:val="00E92777"/>
    <w:pPr>
      <w:jc w:val="both"/>
    </w:pPr>
    <w:rPr>
      <w:rFonts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00">
    <w:name w:val="P00"/>
    <w:rsid w:val="008A5C60"/>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ascii="Times New Roman" w:hAnsi="Times New Roman" w:cs="Times New Roman"/>
      <w:noProof/>
      <w:szCs w:val="26"/>
      <w:lang w:eastAsia="he-IL"/>
    </w:rPr>
  </w:style>
  <w:style w:type="character" w:styleId="Hyperlink">
    <w:name w:val="Hyperlink"/>
    <w:basedOn w:val="a0"/>
    <w:uiPriority w:val="99"/>
    <w:rsid w:val="00A66E3F"/>
    <w:rPr>
      <w:rFonts w:cs="Times New Roman"/>
      <w:color w:val="0000FF"/>
      <w:u w:val="single"/>
    </w:rPr>
  </w:style>
  <w:style w:type="character" w:styleId="FollowedHyperlink">
    <w:name w:val="FollowedHyperlink"/>
    <w:basedOn w:val="a0"/>
    <w:uiPriority w:val="99"/>
    <w:semiHidden/>
    <w:unhideWhenUsed/>
    <w:rsid w:val="00A66E3F"/>
    <w:rPr>
      <w:rFonts w:cs="Times New Roman"/>
      <w:color w:val="800080"/>
      <w:u w:val="single"/>
    </w:rPr>
  </w:style>
  <w:style w:type="paragraph" w:customStyle="1" w:styleId="P22">
    <w:name w:val="P22"/>
    <w:basedOn w:val="P00"/>
    <w:rsid w:val="00237DF7"/>
    <w:pPr>
      <w:tabs>
        <w:tab w:val="clear" w:pos="624"/>
        <w:tab w:val="clear" w:pos="1021"/>
      </w:tabs>
      <w:ind w:right="1021"/>
    </w:pPr>
  </w:style>
  <w:style w:type="paragraph" w:customStyle="1" w:styleId="P11">
    <w:name w:val="P11"/>
    <w:basedOn w:val="P00"/>
    <w:rsid w:val="00237DF7"/>
    <w:pPr>
      <w:tabs>
        <w:tab w:val="clear" w:pos="624"/>
      </w:tabs>
      <w:ind w:right="624"/>
    </w:pPr>
  </w:style>
  <w:style w:type="paragraph" w:styleId="af0">
    <w:name w:val="Revision"/>
    <w:hidden/>
    <w:uiPriority w:val="99"/>
    <w:semiHidden/>
    <w:rsid w:val="00BF563C"/>
    <w:rPr>
      <w:rFonts w:ascii="Hadasa Roso SL" w:eastAsia="MS Mincho" w:hAnsi="Hadasa Roso SL" w:cs="Hadasa Roso SL"/>
      <w:color w:val="000000"/>
      <w:spacing w:val="1"/>
      <w:sz w:val="17"/>
      <w:szCs w:val="17"/>
      <w:lang w:eastAsia="ja-JP"/>
    </w:rPr>
  </w:style>
  <w:style w:type="character" w:customStyle="1" w:styleId="TableText0">
    <w:name w:val="Table Text תו"/>
    <w:link w:val="TableText"/>
    <w:locked/>
    <w:rsid w:val="00BB4EF5"/>
    <w:rPr>
      <w:rFonts w:ascii="Arial" w:eastAsia="Arial Unicode MS" w:hAnsi="Arial" w:cs="David"/>
      <w:color w:val="000000"/>
      <w:szCs w:val="26"/>
      <w:lang w:eastAsia="ja-JP"/>
    </w:rPr>
  </w:style>
  <w:style w:type="character" w:customStyle="1" w:styleId="TableBlock0">
    <w:name w:val="Table Block תו"/>
    <w:link w:val="TableBlock"/>
    <w:locked/>
    <w:rsid w:val="00BB4EF5"/>
    <w:rPr>
      <w:rFonts w:ascii="Arial" w:eastAsia="Arial Unicode MS" w:hAnsi="Arial" w:cs="David"/>
      <w:color w:val="000000"/>
      <w:szCs w:val="26"/>
      <w:lang w:eastAsia="ja-JP"/>
    </w:rPr>
  </w:style>
  <w:style w:type="paragraph" w:customStyle="1" w:styleId="Noparagraphstyle">
    <w:name w:val="[No paragraph style]"/>
    <w:rsid w:val="00A10F1B"/>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character" w:customStyle="1" w:styleId="ListParagraphChar">
    <w:name w:val="List Paragraph Char"/>
    <w:basedOn w:val="a0"/>
    <w:link w:val="aa"/>
    <w:uiPriority w:val="34"/>
    <w:locked/>
    <w:rsid w:val="00372203"/>
    <w:rPr>
      <w:rFonts w:ascii="Times New Roman" w:hAnsi="Times New Roman" w:cs="David"/>
      <w:sz w:val="24"/>
      <w:szCs w:val="26"/>
    </w:rPr>
  </w:style>
  <w:style w:type="character" w:styleId="af1">
    <w:name w:val="Emphasis"/>
    <w:basedOn w:val="a0"/>
    <w:uiPriority w:val="20"/>
    <w:qFormat/>
    <w:rsid w:val="00650FF3"/>
    <w:rPr>
      <w:i/>
      <w:iCs/>
    </w:rPr>
  </w:style>
  <w:style w:type="character" w:customStyle="1" w:styleId="apple-converted-space">
    <w:name w:val="apple-converted-space"/>
    <w:basedOn w:val="a0"/>
    <w:rsid w:val="00650FF3"/>
  </w:style>
  <w:style w:type="paragraph" w:customStyle="1" w:styleId="p220">
    <w:name w:val="p22"/>
    <w:basedOn w:val="a"/>
    <w:rsid w:val="00F7217A"/>
    <w:pPr>
      <w:widowControl/>
      <w:autoSpaceDE/>
      <w:autoSpaceDN/>
      <w:bidi w:val="0"/>
      <w:adjustRightInd/>
      <w:spacing w:before="100" w:beforeAutospacing="1" w:after="100" w:afterAutospacing="1" w:line="240" w:lineRule="auto"/>
      <w:ind w:firstLine="0"/>
      <w:jc w:val="left"/>
      <w:textAlignment w:val="auto"/>
    </w:pPr>
    <w:rPr>
      <w:rFonts w:ascii="Times New Roman" w:eastAsia="Times New Roman" w:hAnsi="Times New Roman" w:cs="Times New Roman"/>
      <w:color w:val="auto"/>
      <w:spacing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58737">
      <w:marLeft w:val="0"/>
      <w:marRight w:val="0"/>
      <w:marTop w:val="0"/>
      <w:marBottom w:val="0"/>
      <w:divBdr>
        <w:top w:val="none" w:sz="0" w:space="0" w:color="auto"/>
        <w:left w:val="none" w:sz="0" w:space="0" w:color="auto"/>
        <w:bottom w:val="none" w:sz="0" w:space="0" w:color="auto"/>
        <w:right w:val="none" w:sz="0" w:space="0" w:color="auto"/>
      </w:divBdr>
    </w:div>
    <w:div w:id="129058738">
      <w:marLeft w:val="0"/>
      <w:marRight w:val="0"/>
      <w:marTop w:val="0"/>
      <w:marBottom w:val="0"/>
      <w:divBdr>
        <w:top w:val="none" w:sz="0" w:space="0" w:color="auto"/>
        <w:left w:val="none" w:sz="0" w:space="0" w:color="auto"/>
        <w:bottom w:val="none" w:sz="0" w:space="0" w:color="auto"/>
        <w:right w:val="none" w:sz="0" w:space="0" w:color="auto"/>
      </w:divBdr>
    </w:div>
    <w:div w:id="129058739">
      <w:marLeft w:val="0"/>
      <w:marRight w:val="0"/>
      <w:marTop w:val="0"/>
      <w:marBottom w:val="0"/>
      <w:divBdr>
        <w:top w:val="none" w:sz="0" w:space="0" w:color="auto"/>
        <w:left w:val="none" w:sz="0" w:space="0" w:color="auto"/>
        <w:bottom w:val="none" w:sz="0" w:space="0" w:color="auto"/>
        <w:right w:val="none" w:sz="0" w:space="0" w:color="auto"/>
      </w:divBdr>
    </w:div>
    <w:div w:id="129058740">
      <w:marLeft w:val="0"/>
      <w:marRight w:val="0"/>
      <w:marTop w:val="0"/>
      <w:marBottom w:val="0"/>
      <w:divBdr>
        <w:top w:val="none" w:sz="0" w:space="0" w:color="auto"/>
        <w:left w:val="none" w:sz="0" w:space="0" w:color="auto"/>
        <w:bottom w:val="none" w:sz="0" w:space="0" w:color="auto"/>
        <w:right w:val="none" w:sz="0" w:space="0" w:color="auto"/>
      </w:divBdr>
    </w:div>
    <w:div w:id="129058741">
      <w:marLeft w:val="0"/>
      <w:marRight w:val="0"/>
      <w:marTop w:val="0"/>
      <w:marBottom w:val="0"/>
      <w:divBdr>
        <w:top w:val="none" w:sz="0" w:space="0" w:color="auto"/>
        <w:left w:val="none" w:sz="0" w:space="0" w:color="auto"/>
        <w:bottom w:val="none" w:sz="0" w:space="0" w:color="auto"/>
        <w:right w:val="none" w:sz="0" w:space="0" w:color="auto"/>
      </w:divBdr>
    </w:div>
    <w:div w:id="286159640">
      <w:bodyDiv w:val="1"/>
      <w:marLeft w:val="0"/>
      <w:marRight w:val="0"/>
      <w:marTop w:val="0"/>
      <w:marBottom w:val="0"/>
      <w:divBdr>
        <w:top w:val="none" w:sz="0" w:space="0" w:color="auto"/>
        <w:left w:val="none" w:sz="0" w:space="0" w:color="auto"/>
        <w:bottom w:val="none" w:sz="0" w:space="0" w:color="auto"/>
        <w:right w:val="none" w:sz="0" w:space="0" w:color="auto"/>
      </w:divBdr>
    </w:div>
    <w:div w:id="511996353">
      <w:bodyDiv w:val="1"/>
      <w:marLeft w:val="0"/>
      <w:marRight w:val="0"/>
      <w:marTop w:val="0"/>
      <w:marBottom w:val="0"/>
      <w:divBdr>
        <w:top w:val="none" w:sz="0" w:space="0" w:color="auto"/>
        <w:left w:val="none" w:sz="0" w:space="0" w:color="auto"/>
        <w:bottom w:val="none" w:sz="0" w:space="0" w:color="auto"/>
        <w:right w:val="none" w:sz="0" w:space="0" w:color="auto"/>
      </w:divBdr>
    </w:div>
    <w:div w:id="560866877">
      <w:bodyDiv w:val="1"/>
      <w:marLeft w:val="0"/>
      <w:marRight w:val="0"/>
      <w:marTop w:val="0"/>
      <w:marBottom w:val="0"/>
      <w:divBdr>
        <w:top w:val="none" w:sz="0" w:space="0" w:color="auto"/>
        <w:left w:val="none" w:sz="0" w:space="0" w:color="auto"/>
        <w:bottom w:val="none" w:sz="0" w:space="0" w:color="auto"/>
        <w:right w:val="none" w:sz="0" w:space="0" w:color="auto"/>
      </w:divBdr>
    </w:div>
    <w:div w:id="632637083">
      <w:bodyDiv w:val="1"/>
      <w:marLeft w:val="0"/>
      <w:marRight w:val="0"/>
      <w:marTop w:val="0"/>
      <w:marBottom w:val="0"/>
      <w:divBdr>
        <w:top w:val="none" w:sz="0" w:space="0" w:color="auto"/>
        <w:left w:val="none" w:sz="0" w:space="0" w:color="auto"/>
        <w:bottom w:val="none" w:sz="0" w:space="0" w:color="auto"/>
        <w:right w:val="none" w:sz="0" w:space="0" w:color="auto"/>
      </w:divBdr>
    </w:div>
    <w:div w:id="742072690">
      <w:bodyDiv w:val="1"/>
      <w:marLeft w:val="0"/>
      <w:marRight w:val="0"/>
      <w:marTop w:val="0"/>
      <w:marBottom w:val="0"/>
      <w:divBdr>
        <w:top w:val="none" w:sz="0" w:space="0" w:color="auto"/>
        <w:left w:val="none" w:sz="0" w:space="0" w:color="auto"/>
        <w:bottom w:val="none" w:sz="0" w:space="0" w:color="auto"/>
        <w:right w:val="none" w:sz="0" w:space="0" w:color="auto"/>
      </w:divBdr>
    </w:div>
    <w:div w:id="790324085">
      <w:bodyDiv w:val="1"/>
      <w:marLeft w:val="0"/>
      <w:marRight w:val="0"/>
      <w:marTop w:val="0"/>
      <w:marBottom w:val="0"/>
      <w:divBdr>
        <w:top w:val="none" w:sz="0" w:space="0" w:color="auto"/>
        <w:left w:val="none" w:sz="0" w:space="0" w:color="auto"/>
        <w:bottom w:val="none" w:sz="0" w:space="0" w:color="auto"/>
        <w:right w:val="none" w:sz="0" w:space="0" w:color="auto"/>
      </w:divBdr>
    </w:div>
    <w:div w:id="894664109">
      <w:bodyDiv w:val="1"/>
      <w:marLeft w:val="0"/>
      <w:marRight w:val="0"/>
      <w:marTop w:val="0"/>
      <w:marBottom w:val="0"/>
      <w:divBdr>
        <w:top w:val="none" w:sz="0" w:space="0" w:color="auto"/>
        <w:left w:val="none" w:sz="0" w:space="0" w:color="auto"/>
        <w:bottom w:val="none" w:sz="0" w:space="0" w:color="auto"/>
        <w:right w:val="none" w:sz="0" w:space="0" w:color="auto"/>
      </w:divBdr>
    </w:div>
    <w:div w:id="1091927456">
      <w:bodyDiv w:val="1"/>
      <w:marLeft w:val="0"/>
      <w:marRight w:val="0"/>
      <w:marTop w:val="0"/>
      <w:marBottom w:val="0"/>
      <w:divBdr>
        <w:top w:val="none" w:sz="0" w:space="0" w:color="auto"/>
        <w:left w:val="none" w:sz="0" w:space="0" w:color="auto"/>
        <w:bottom w:val="none" w:sz="0" w:space="0" w:color="auto"/>
        <w:right w:val="none" w:sz="0" w:space="0" w:color="auto"/>
      </w:divBdr>
    </w:div>
    <w:div w:id="1304844126">
      <w:bodyDiv w:val="1"/>
      <w:marLeft w:val="0"/>
      <w:marRight w:val="0"/>
      <w:marTop w:val="0"/>
      <w:marBottom w:val="0"/>
      <w:divBdr>
        <w:top w:val="none" w:sz="0" w:space="0" w:color="auto"/>
        <w:left w:val="none" w:sz="0" w:space="0" w:color="auto"/>
        <w:bottom w:val="none" w:sz="0" w:space="0" w:color="auto"/>
        <w:right w:val="none" w:sz="0" w:space="0" w:color="auto"/>
      </w:divBdr>
    </w:div>
    <w:div w:id="1445616526">
      <w:bodyDiv w:val="1"/>
      <w:marLeft w:val="0"/>
      <w:marRight w:val="0"/>
      <w:marTop w:val="0"/>
      <w:marBottom w:val="0"/>
      <w:divBdr>
        <w:top w:val="none" w:sz="0" w:space="0" w:color="auto"/>
        <w:left w:val="none" w:sz="0" w:space="0" w:color="auto"/>
        <w:bottom w:val="none" w:sz="0" w:space="0" w:color="auto"/>
        <w:right w:val="none" w:sz="0" w:space="0" w:color="auto"/>
      </w:divBdr>
    </w:div>
    <w:div w:id="1485707746">
      <w:bodyDiv w:val="1"/>
      <w:marLeft w:val="0"/>
      <w:marRight w:val="0"/>
      <w:marTop w:val="0"/>
      <w:marBottom w:val="0"/>
      <w:divBdr>
        <w:top w:val="none" w:sz="0" w:space="0" w:color="auto"/>
        <w:left w:val="none" w:sz="0" w:space="0" w:color="auto"/>
        <w:bottom w:val="none" w:sz="0" w:space="0" w:color="auto"/>
        <w:right w:val="none" w:sz="0" w:space="0" w:color="auto"/>
      </w:divBdr>
    </w:div>
    <w:div w:id="1498184355">
      <w:bodyDiv w:val="1"/>
      <w:marLeft w:val="0"/>
      <w:marRight w:val="0"/>
      <w:marTop w:val="0"/>
      <w:marBottom w:val="0"/>
      <w:divBdr>
        <w:top w:val="none" w:sz="0" w:space="0" w:color="auto"/>
        <w:left w:val="none" w:sz="0" w:space="0" w:color="auto"/>
        <w:bottom w:val="none" w:sz="0" w:space="0" w:color="auto"/>
        <w:right w:val="none" w:sz="0" w:space="0" w:color="auto"/>
      </w:divBdr>
    </w:div>
    <w:div w:id="179093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fNumber xmlns="d2589617-2f74-4077-aee7-f516ed639388">43320</RefNumber>
  </documentManagement>
</p:properties>
</file>

<file path=customXml/item4.xml><?xml version="1.0" encoding="utf-8"?>
<ct:contentTypeSchema xmlns:ct="http://schemas.microsoft.com/office/2006/metadata/contentType" xmlns:ma="http://schemas.microsoft.com/office/2006/metadata/properties/metaAttributes" ct:_="" ma:_="" ma:contentTypeName="מסמך" ma:contentTypeID="0x010100161B5BAE19C0A94ABF7F052772C71F14" ma:contentTypeVersion="1" ma:contentTypeDescription="צור מסמך חדש." ma:contentTypeScope="" ma:versionID="4c4e7c02a57e54f45d23c2b2cc14d8d5">
  <xsd:schema xmlns:xsd="http://www.w3.org/2001/XMLSchema" xmlns:p="http://schemas.microsoft.com/office/2006/metadata/properties" xmlns:ns2="d2589617-2f74-4077-aee7-f516ed639388" targetNamespace="http://schemas.microsoft.com/office/2006/metadata/properties" ma:root="true" ma:fieldsID="07cad186b484ecc037a0bd5112bdf38e" ns2:_="">
    <xsd:import namespace="d2589617-2f74-4077-aee7-f516ed639388"/>
    <xsd:element name="properties">
      <xsd:complexType>
        <xsd:sequence>
          <xsd:element name="documentManagement">
            <xsd:complexType>
              <xsd:all>
                <xsd:element ref="ns2:RefNumber" minOccurs="0"/>
              </xsd:all>
            </xsd:complexType>
          </xsd:element>
        </xsd:sequence>
      </xsd:complexType>
    </xsd:element>
  </xsd:schema>
  <xsd:schema xmlns:xsd="http://www.w3.org/2001/XMLSchema" xmlns:dms="http://schemas.microsoft.com/office/2006/documentManagement/types" targetNamespace="d2589617-2f74-4077-aee7-f516ed639388" elementFormDefault="qualified">
    <xsd:import namespace="http://schemas.microsoft.com/office/2006/documentManagement/types"/>
    <xsd:element name="RefNumber" ma:index="8" nillable="true" ma:displayName="RefNumber" ma:description="מס' טופס" ma:internalName="Ref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ma:readOnly="true"/>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3EA4F-3881-4586-84A0-23623BAD8C92}">
  <ds:schemaRefs>
    <ds:schemaRef ds:uri="http://schemas.microsoft.com/office/2006/metadata/longProperties"/>
  </ds:schemaRefs>
</ds:datastoreItem>
</file>

<file path=customXml/itemProps2.xml><?xml version="1.0" encoding="utf-8"?>
<ds:datastoreItem xmlns:ds="http://schemas.openxmlformats.org/officeDocument/2006/customXml" ds:itemID="{35384F59-BE3F-4500-8107-4D4A0A878B37}">
  <ds:schemaRefs>
    <ds:schemaRef ds:uri="http://schemas.microsoft.com/sharepoint/v3/contenttype/forms"/>
  </ds:schemaRefs>
</ds:datastoreItem>
</file>

<file path=customXml/itemProps3.xml><?xml version="1.0" encoding="utf-8"?>
<ds:datastoreItem xmlns:ds="http://schemas.openxmlformats.org/officeDocument/2006/customXml" ds:itemID="{27C03B22-43EE-4CB8-9507-B8EE619386D9}">
  <ds:schemaRefs>
    <ds:schemaRef ds:uri="http://schemas.microsoft.com/office/2006/metadata/properties"/>
    <ds:schemaRef ds:uri="http://schemas.microsoft.com/office/infopath/2007/PartnerControls"/>
    <ds:schemaRef ds:uri="d2589617-2f74-4077-aee7-f516ed639388"/>
  </ds:schemaRefs>
</ds:datastoreItem>
</file>

<file path=customXml/itemProps4.xml><?xml version="1.0" encoding="utf-8"?>
<ds:datastoreItem xmlns:ds="http://schemas.openxmlformats.org/officeDocument/2006/customXml" ds:itemID="{9B1DCD7D-6168-4663-8522-B5C1BE3530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589617-2f74-4077-aee7-f516ed63938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5C83E58C-CDBD-4200-906D-FEECA8A10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1011</Words>
  <Characters>5058</Characters>
  <Application>Microsoft Office Word</Application>
  <DocSecurity>0</DocSecurity>
  <Lines>42</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PCDOCS_JLM-#588288-v1-נוסח_תזכיר_יבוא_מקביל_סופי סופי.docx</vt:lpstr>
      <vt:lpstr>תבנית חקיקה 30 11 11.doc</vt:lpstr>
    </vt:vector>
  </TitlesOfParts>
  <Company>MNI</Company>
  <LinksUpToDate>false</LinksUpToDate>
  <CharactersWithSpaces>6057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PCDOCS_JLM-#588288-v1-נוסח_תזכיר_יבוא_מקביל_סופי סופי.docx</dc:title>
  <dc:creator>עינב</dc:creator>
  <cp:lastModifiedBy>Abigail Gottlieb - Chamber Of Commerce</cp:lastModifiedBy>
  <cp:revision>2</cp:revision>
  <cp:lastPrinted>2017-06-11T11:28:00Z</cp:lastPrinted>
  <dcterms:created xsi:type="dcterms:W3CDTF">2017-07-18T12:15:00Z</dcterms:created>
  <dcterms:modified xsi:type="dcterms:W3CDTF">2017-07-18T12:15:00Z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תבנית חקיקה 30 11 11.doc</vt:lpwstr>
  </property>
  <property fmtid="{D5CDD505-2E9C-101B-9397-08002B2CF9AE}" pid="3" name="display_urn:schemas-microsoft-com:office:office#Editor">
    <vt:lpwstr>חשבון מערכת</vt:lpwstr>
  </property>
  <property fmtid="{D5CDD505-2E9C-101B-9397-08002B2CF9AE}" pid="4" name="xd_Signature">
    <vt:lpwstr/>
  </property>
  <property fmtid="{D5CDD505-2E9C-101B-9397-08002B2CF9AE}" pid="5" name="display_urn:schemas-microsoft-com:office:office#Author">
    <vt:lpwstr>חשבון מערכת</vt:lpwstr>
  </property>
  <property fmtid="{D5CDD505-2E9C-101B-9397-08002B2CF9AE}" pid="6" name="TemplateUrl">
    <vt:lpwstr/>
  </property>
  <property fmtid="{D5CDD505-2E9C-101B-9397-08002B2CF9AE}" pid="7" name="xd_ProgID">
    <vt:lpwstr/>
  </property>
  <property fmtid="{D5CDD505-2E9C-101B-9397-08002B2CF9AE}" pid="8" name="ContentTypeId">
    <vt:lpwstr>0x010100161B5BAE19C0A94ABF7F052772C71F14</vt:lpwstr>
  </property>
  <property fmtid="{D5CDD505-2E9C-101B-9397-08002B2CF9AE}" pid="9" name="_SourceUrl">
    <vt:lpwstr/>
  </property>
</Properties>
</file>