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93" w:rsidRDefault="00657293" w:rsidP="006071AD">
      <w:pPr>
        <w:ind w:left="6943"/>
        <w:jc w:val="left"/>
        <w:rPr>
          <w:rFonts w:cs="David"/>
          <w:sz w:val="22"/>
          <w:szCs w:val="22"/>
          <w:rtl/>
        </w:rPr>
      </w:pPr>
      <w:bookmarkStart w:id="0" w:name="Date"/>
      <w:bookmarkEnd w:id="0"/>
      <w:r>
        <w:rPr>
          <w:rFonts w:cs="David" w:hint="eastAsia"/>
          <w:sz w:val="22"/>
          <w:szCs w:val="22"/>
          <w:rtl/>
        </w:rPr>
        <w:t>ט</w:t>
      </w:r>
      <w:r>
        <w:rPr>
          <w:rFonts w:cs="David"/>
          <w:sz w:val="22"/>
          <w:szCs w:val="22"/>
          <w:rtl/>
        </w:rPr>
        <w:t>' בחשון התשע"ד</w:t>
      </w:r>
      <w:r>
        <w:rPr>
          <w:rFonts w:cs="David"/>
          <w:sz w:val="22"/>
          <w:szCs w:val="22"/>
          <w:rtl/>
        </w:rPr>
        <w:br/>
        <w:t>13 באוקטובר 2013</w:t>
      </w:r>
    </w:p>
    <w:p w:rsidR="00657293" w:rsidRDefault="00657293" w:rsidP="006071AD">
      <w:pPr>
        <w:ind w:left="6943"/>
        <w:jc w:val="left"/>
        <w:rPr>
          <w:rFonts w:cs="David"/>
          <w:sz w:val="22"/>
          <w:szCs w:val="22"/>
          <w:rtl/>
        </w:rPr>
      </w:pPr>
      <w:bookmarkStart w:id="1" w:name="DocNum"/>
      <w:bookmarkEnd w:id="1"/>
      <w:r>
        <w:rPr>
          <w:rFonts w:cs="David"/>
          <w:sz w:val="22"/>
          <w:szCs w:val="22"/>
          <w:rtl/>
        </w:rPr>
        <w:t>דב. 2013-1789</w:t>
      </w:r>
    </w:p>
    <w:p w:rsidR="00157EDD" w:rsidRPr="003B469A" w:rsidRDefault="00157EDD" w:rsidP="00A22924">
      <w:pPr>
        <w:pStyle w:val="1"/>
        <w:jc w:val="center"/>
        <w:rPr>
          <w:b w:val="0"/>
          <w:bCs w:val="0"/>
          <w:sz w:val="26"/>
          <w:szCs w:val="26"/>
          <w:rtl/>
        </w:rPr>
      </w:pPr>
      <w:r w:rsidRPr="003B469A">
        <w:rPr>
          <w:b w:val="0"/>
          <w:bCs w:val="0"/>
          <w:sz w:val="26"/>
          <w:szCs w:val="26"/>
          <w:rtl/>
        </w:rPr>
        <w:t>הודעה  לע</w:t>
      </w:r>
      <w:r w:rsidRPr="003B469A">
        <w:rPr>
          <w:rFonts w:hint="cs"/>
          <w:b w:val="0"/>
          <w:bCs w:val="0"/>
          <w:sz w:val="26"/>
          <w:szCs w:val="26"/>
          <w:rtl/>
        </w:rPr>
        <w:t>י</w:t>
      </w:r>
      <w:r w:rsidRPr="003B469A">
        <w:rPr>
          <w:b w:val="0"/>
          <w:bCs w:val="0"/>
          <w:sz w:val="26"/>
          <w:szCs w:val="26"/>
          <w:rtl/>
        </w:rPr>
        <w:t>תונות</w:t>
      </w:r>
    </w:p>
    <w:p w:rsidR="00157EDD" w:rsidRPr="00157EDD" w:rsidRDefault="00157EDD" w:rsidP="00A22924">
      <w:pPr>
        <w:spacing w:line="25" w:lineRule="atLeast"/>
        <w:rPr>
          <w:rFonts w:cs="David"/>
          <w:szCs w:val="24"/>
          <w:rtl/>
        </w:rPr>
      </w:pPr>
    </w:p>
    <w:p w:rsidR="00DB585C" w:rsidRPr="00DB585C" w:rsidRDefault="00DB585C" w:rsidP="00DB585C">
      <w:pPr>
        <w:spacing w:line="360" w:lineRule="auto"/>
        <w:jc w:val="center"/>
        <w:rPr>
          <w:rFonts w:cs="David"/>
          <w:b/>
          <w:bCs/>
          <w:sz w:val="42"/>
          <w:szCs w:val="42"/>
          <w:rtl/>
        </w:rPr>
      </w:pPr>
      <w:r w:rsidRPr="00DB585C">
        <w:rPr>
          <w:rFonts w:cs="David" w:hint="cs"/>
          <w:b/>
          <w:bCs/>
          <w:sz w:val="42"/>
          <w:szCs w:val="42"/>
          <w:rtl/>
        </w:rPr>
        <w:t xml:space="preserve">משרדי האוצר והכלכלה גיבשו מתווה רב שנתי לחיזוק המכללות הטכנולוגיות </w:t>
      </w:r>
    </w:p>
    <w:p w:rsidR="00DB585C" w:rsidRDefault="00DB585C" w:rsidP="00DB585C">
      <w:pPr>
        <w:spacing w:line="25" w:lineRule="atLeast"/>
        <w:rPr>
          <w:rFonts w:cs="David"/>
          <w:szCs w:val="24"/>
          <w:rtl/>
        </w:rPr>
      </w:pPr>
    </w:p>
    <w:p w:rsidR="00DB585C" w:rsidRPr="00157EDD" w:rsidRDefault="00DB585C" w:rsidP="00DB585C">
      <w:pPr>
        <w:spacing w:line="25" w:lineRule="atLeast"/>
        <w:rPr>
          <w:rFonts w:cs="David"/>
          <w:szCs w:val="24"/>
          <w:rtl/>
        </w:rPr>
      </w:pPr>
    </w:p>
    <w:p w:rsidR="00DB585C" w:rsidRDefault="00DB585C" w:rsidP="00DB585C">
      <w:pPr>
        <w:spacing w:line="25" w:lineRule="atLeast"/>
        <w:rPr>
          <w:rFonts w:cs="David"/>
          <w:szCs w:val="24"/>
          <w:rtl/>
        </w:rPr>
      </w:pPr>
    </w:p>
    <w:p w:rsidR="00DB585C" w:rsidRDefault="00DB585C" w:rsidP="001A033F">
      <w:p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בסיומה של עבודת מטה ממושכת של </w:t>
      </w:r>
      <w:r w:rsidRPr="003B469A">
        <w:rPr>
          <w:rFonts w:cs="David"/>
          <w:szCs w:val="24"/>
          <w:rtl/>
        </w:rPr>
        <w:t xml:space="preserve">משרדי </w:t>
      </w:r>
      <w:r>
        <w:rPr>
          <w:rFonts w:cs="David" w:hint="cs"/>
          <w:szCs w:val="24"/>
          <w:rtl/>
        </w:rPr>
        <w:t xml:space="preserve">האוצר והכלכלה, במשותף עם ראשי המכללות הטכנולוגיות, גובש מתווה רב-שנתי, אשר נותן מענה נכון לצרכי המכללות הן בטווח הזמן המיידי והן בטווח הארוך.  </w:t>
      </w:r>
    </w:p>
    <w:p w:rsidR="00DB585C" w:rsidRDefault="00DB585C" w:rsidP="001A033F">
      <w:pPr>
        <w:spacing w:line="360" w:lineRule="auto"/>
        <w:rPr>
          <w:rFonts w:cs="David"/>
          <w:szCs w:val="24"/>
          <w:rtl/>
        </w:rPr>
      </w:pPr>
    </w:p>
    <w:p w:rsidR="00DB585C" w:rsidRDefault="00DB585C" w:rsidP="001A033F">
      <w:p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משרדי האוצר והכלכלההתחייבו למתווה שיש בו</w:t>
      </w:r>
      <w:r w:rsidRPr="003B469A">
        <w:rPr>
          <w:rFonts w:cs="David"/>
          <w:szCs w:val="24"/>
          <w:rtl/>
        </w:rPr>
        <w:t xml:space="preserve"> בשורה משמעותית לעומת המצב הקיים</w:t>
      </w:r>
      <w:r>
        <w:rPr>
          <w:rFonts w:cs="David" w:hint="cs"/>
          <w:szCs w:val="24"/>
          <w:rtl/>
        </w:rPr>
        <w:t>. המתווה ה</w:t>
      </w:r>
      <w:r w:rsidRPr="003B469A">
        <w:rPr>
          <w:rFonts w:cs="David"/>
          <w:szCs w:val="24"/>
          <w:rtl/>
        </w:rPr>
        <w:t xml:space="preserve">רב שנתי </w:t>
      </w:r>
      <w:r>
        <w:rPr>
          <w:rFonts w:cs="David" w:hint="cs"/>
          <w:szCs w:val="24"/>
          <w:rtl/>
        </w:rPr>
        <w:t xml:space="preserve">יאפשר </w:t>
      </w:r>
      <w:r w:rsidRPr="003B469A">
        <w:rPr>
          <w:rFonts w:cs="David"/>
          <w:szCs w:val="24"/>
          <w:rtl/>
        </w:rPr>
        <w:t>שיפור, יציבות</w:t>
      </w:r>
      <w:r>
        <w:rPr>
          <w:rFonts w:cs="David" w:hint="cs"/>
          <w:szCs w:val="24"/>
          <w:rtl/>
        </w:rPr>
        <w:t xml:space="preserve"> וכן</w:t>
      </w:r>
      <w:r w:rsidRPr="003B469A">
        <w:rPr>
          <w:rFonts w:cs="David"/>
          <w:szCs w:val="24"/>
          <w:rtl/>
        </w:rPr>
        <w:t xml:space="preserve"> אופק תכנוני וניהולי</w:t>
      </w:r>
      <w:r>
        <w:rPr>
          <w:rFonts w:cs="David" w:hint="cs"/>
          <w:szCs w:val="24"/>
          <w:rtl/>
        </w:rPr>
        <w:t xml:space="preserve">. </w:t>
      </w:r>
      <w:r w:rsidRPr="003B469A">
        <w:rPr>
          <w:rFonts w:cs="David"/>
          <w:szCs w:val="24"/>
          <w:rtl/>
        </w:rPr>
        <w:t>במסגרת</w:t>
      </w:r>
      <w:r>
        <w:rPr>
          <w:rFonts w:cs="David" w:hint="cs"/>
          <w:szCs w:val="24"/>
          <w:rtl/>
        </w:rPr>
        <w:t xml:space="preserve"> המתווה,</w:t>
      </w:r>
      <w:r w:rsidRPr="003B469A">
        <w:rPr>
          <w:rFonts w:cs="David"/>
          <w:szCs w:val="24"/>
          <w:rtl/>
        </w:rPr>
        <w:t xml:space="preserve"> יי</w:t>
      </w:r>
      <w:r>
        <w:rPr>
          <w:rFonts w:cs="David" w:hint="cs"/>
          <w:szCs w:val="24"/>
          <w:rtl/>
        </w:rPr>
        <w:t>נ</w:t>
      </w:r>
      <w:r w:rsidRPr="003B469A">
        <w:rPr>
          <w:rFonts w:cs="David"/>
          <w:szCs w:val="24"/>
          <w:rtl/>
        </w:rPr>
        <w:t>תנו תוספות</w:t>
      </w:r>
      <w:r>
        <w:rPr>
          <w:rFonts w:cs="David" w:hint="cs"/>
          <w:szCs w:val="24"/>
          <w:rtl/>
        </w:rPr>
        <w:t xml:space="preserve"> תקציביותבסכום</w:t>
      </w:r>
      <w:r w:rsidRPr="003B469A">
        <w:rPr>
          <w:rFonts w:cs="David"/>
          <w:szCs w:val="24"/>
          <w:rtl/>
        </w:rPr>
        <w:t xml:space="preserve"> מצטבר של 90 מיליון שקלים לבסיס התקציב למשך </w:t>
      </w:r>
      <w:r>
        <w:rPr>
          <w:rFonts w:cs="David" w:hint="cs"/>
          <w:szCs w:val="24"/>
          <w:rtl/>
        </w:rPr>
        <w:t>5</w:t>
      </w:r>
      <w:r w:rsidRPr="003B469A">
        <w:rPr>
          <w:rFonts w:cs="David"/>
          <w:szCs w:val="24"/>
          <w:rtl/>
        </w:rPr>
        <w:t xml:space="preserve"> שנים, במקביל לביצוע שינויים שישפרו ויבססו את המערכת</w:t>
      </w:r>
      <w:r>
        <w:rPr>
          <w:rFonts w:cs="David" w:hint="cs"/>
          <w:szCs w:val="24"/>
          <w:rtl/>
        </w:rPr>
        <w:t xml:space="preserve">.בהם, </w:t>
      </w:r>
      <w:r w:rsidRPr="003B469A">
        <w:rPr>
          <w:rFonts w:cs="David"/>
          <w:szCs w:val="24"/>
          <w:rtl/>
        </w:rPr>
        <w:t xml:space="preserve">בין היתר, מעבר לתקצוב על בסיס תפוקות, בדומה לאקדמיה (ולא על בסיס מספר תלמידים במערכת), העלאת מספר התלמידים במכללה ועוד.  </w:t>
      </w:r>
    </w:p>
    <w:p w:rsidR="00DB585C" w:rsidRPr="003B469A" w:rsidRDefault="00DB585C" w:rsidP="001A033F">
      <w:pPr>
        <w:spacing w:line="360" w:lineRule="auto"/>
        <w:rPr>
          <w:rFonts w:cs="David"/>
          <w:szCs w:val="24"/>
          <w:rtl/>
        </w:rPr>
      </w:pPr>
    </w:p>
    <w:p w:rsidR="00DB585C" w:rsidRPr="003B469A" w:rsidRDefault="00DB585C" w:rsidP="001A033F">
      <w:pPr>
        <w:spacing w:line="360" w:lineRule="auto"/>
        <w:rPr>
          <w:rFonts w:cs="David"/>
          <w:szCs w:val="24"/>
          <w:rtl/>
        </w:rPr>
      </w:pPr>
      <w:r w:rsidRPr="003B469A">
        <w:rPr>
          <w:rFonts w:cs="David"/>
          <w:szCs w:val="24"/>
          <w:rtl/>
        </w:rPr>
        <w:t>שרי האוצר והכלכלה</w:t>
      </w:r>
      <w:r>
        <w:rPr>
          <w:rFonts w:cs="David" w:hint="cs"/>
          <w:szCs w:val="24"/>
          <w:rtl/>
        </w:rPr>
        <w:t xml:space="preserve"> ברכו היום את הסטודנטים עם פתיחת שנת הלימודיםו</w:t>
      </w:r>
      <w:r w:rsidRPr="003B469A">
        <w:rPr>
          <w:rFonts w:cs="David"/>
          <w:szCs w:val="24"/>
          <w:rtl/>
        </w:rPr>
        <w:t>ציינו כי החינוך הטכנולוגי הו</w:t>
      </w:r>
      <w:r>
        <w:rPr>
          <w:rFonts w:cs="David" w:hint="cs"/>
          <w:szCs w:val="24"/>
          <w:rtl/>
        </w:rPr>
        <w:t>א</w:t>
      </w:r>
      <w:r w:rsidRPr="003B469A">
        <w:rPr>
          <w:rFonts w:cs="David"/>
          <w:szCs w:val="24"/>
          <w:rtl/>
        </w:rPr>
        <w:t xml:space="preserve"> בעל חשיבות </w:t>
      </w:r>
      <w:r>
        <w:rPr>
          <w:rFonts w:cs="David" w:hint="cs"/>
          <w:szCs w:val="24"/>
          <w:rtl/>
        </w:rPr>
        <w:t>אסטרטגית</w:t>
      </w:r>
      <w:r w:rsidRPr="003B469A">
        <w:rPr>
          <w:rFonts w:cs="David"/>
          <w:szCs w:val="24"/>
          <w:rtl/>
        </w:rPr>
        <w:t xml:space="preserve"> למשק, לכלכלה ולחברה</w:t>
      </w:r>
      <w:r>
        <w:rPr>
          <w:rFonts w:cs="David" w:hint="cs"/>
          <w:szCs w:val="24"/>
          <w:rtl/>
        </w:rPr>
        <w:t xml:space="preserve"> והדגישו כי שכר הלימוד של הסטודנטים לא הועלה השנה. </w:t>
      </w:r>
      <w:r w:rsidRPr="003B469A">
        <w:rPr>
          <w:rFonts w:cs="David"/>
          <w:szCs w:val="24"/>
          <w:rtl/>
        </w:rPr>
        <w:t>המאמצים הרבים שהושקעו בחודשים האחרונות והמתווה המוצע</w:t>
      </w:r>
      <w:r>
        <w:rPr>
          <w:rFonts w:cs="David" w:hint="cs"/>
          <w:szCs w:val="24"/>
          <w:rtl/>
        </w:rPr>
        <w:t>,שכולל שינוי סדרי עדיפויות והסטת משאבים משמעותיים לנושא (מדובר בהגדלת התקציב של המכללות בכ-70% על פני תקופת המתווה), י</w:t>
      </w:r>
      <w:r w:rsidRPr="003B469A">
        <w:rPr>
          <w:rFonts w:cs="David"/>
          <w:szCs w:val="24"/>
          <w:rtl/>
        </w:rPr>
        <w:t>צעיד</w:t>
      </w:r>
      <w:r>
        <w:rPr>
          <w:rFonts w:cs="David" w:hint="cs"/>
          <w:szCs w:val="24"/>
          <w:rtl/>
        </w:rPr>
        <w:t xml:space="preserve">ואת </w:t>
      </w:r>
      <w:r w:rsidRPr="003B469A">
        <w:rPr>
          <w:rFonts w:cs="David"/>
          <w:szCs w:val="24"/>
          <w:rtl/>
        </w:rPr>
        <w:t xml:space="preserve">החינוך </w:t>
      </w:r>
      <w:r>
        <w:rPr>
          <w:rFonts w:cs="David" w:hint="cs"/>
          <w:szCs w:val="24"/>
          <w:rtl/>
        </w:rPr>
        <w:t>הט</w:t>
      </w:r>
      <w:bookmarkStart w:id="2" w:name="_GoBack"/>
      <w:bookmarkEnd w:id="2"/>
      <w:r>
        <w:rPr>
          <w:rFonts w:cs="David" w:hint="cs"/>
          <w:szCs w:val="24"/>
          <w:rtl/>
        </w:rPr>
        <w:t xml:space="preserve">כנולוגי </w:t>
      </w:r>
      <w:r w:rsidRPr="003B469A">
        <w:rPr>
          <w:rFonts w:cs="David"/>
          <w:szCs w:val="24"/>
          <w:rtl/>
        </w:rPr>
        <w:t>קדימה בשנים הקרובות</w:t>
      </w:r>
      <w:r>
        <w:rPr>
          <w:rFonts w:cs="David" w:hint="cs"/>
          <w:szCs w:val="24"/>
          <w:rtl/>
        </w:rPr>
        <w:t>, ציינו השרים אשר</w:t>
      </w:r>
      <w:r w:rsidRPr="003B469A">
        <w:rPr>
          <w:rFonts w:cs="David"/>
          <w:szCs w:val="24"/>
          <w:rtl/>
        </w:rPr>
        <w:t xml:space="preserve"> קראו ל</w:t>
      </w:r>
      <w:r>
        <w:rPr>
          <w:rFonts w:cs="David" w:hint="cs"/>
          <w:szCs w:val="24"/>
          <w:rtl/>
        </w:rPr>
        <w:t xml:space="preserve">כלל </w:t>
      </w:r>
      <w:r w:rsidRPr="003B469A">
        <w:rPr>
          <w:rFonts w:cs="David"/>
          <w:szCs w:val="24"/>
          <w:rtl/>
        </w:rPr>
        <w:t>מנהלי המכללות ל</w:t>
      </w:r>
      <w:r>
        <w:rPr>
          <w:rFonts w:cs="David" w:hint="cs"/>
          <w:szCs w:val="24"/>
          <w:rtl/>
        </w:rPr>
        <w:t>אשר</w:t>
      </w:r>
      <w:r w:rsidRPr="003B469A">
        <w:rPr>
          <w:rFonts w:cs="David"/>
          <w:szCs w:val="24"/>
          <w:rtl/>
        </w:rPr>
        <w:t xml:space="preserve"> את המתווה</w:t>
      </w:r>
      <w:r>
        <w:rPr>
          <w:rFonts w:cs="David"/>
          <w:szCs w:val="24"/>
          <w:rtl/>
        </w:rPr>
        <w:t>.</w:t>
      </w:r>
    </w:p>
    <w:p w:rsidR="00DB585C" w:rsidRPr="003B469A" w:rsidRDefault="00DB585C" w:rsidP="001A033F">
      <w:pPr>
        <w:spacing w:line="25" w:lineRule="atLeast"/>
        <w:rPr>
          <w:rFonts w:cs="David"/>
          <w:szCs w:val="24"/>
          <w:rtl/>
        </w:rPr>
      </w:pPr>
    </w:p>
    <w:p w:rsidR="00DB585C" w:rsidRDefault="00DB585C" w:rsidP="001A033F">
      <w:pPr>
        <w:spacing w:line="360" w:lineRule="auto"/>
        <w:rPr>
          <w:rFonts w:cs="David"/>
          <w:szCs w:val="24"/>
          <w:rtl/>
        </w:rPr>
      </w:pPr>
      <w:r w:rsidRPr="003B469A">
        <w:rPr>
          <w:rFonts w:cs="David"/>
          <w:szCs w:val="24"/>
          <w:rtl/>
        </w:rPr>
        <w:t xml:space="preserve">צביקה פלג, מנכ"ל רשת אורט, הרשת הגדולה מבין המכללות, שליווה את הדיונים, הביע שביעות רצון מהסיכום והערכה רבה לשרים על המתווה. פלג הודיע כי רשת אורט </w:t>
      </w:r>
      <w:r>
        <w:rPr>
          <w:rFonts w:cs="David" w:hint="cs"/>
          <w:szCs w:val="24"/>
          <w:rtl/>
        </w:rPr>
        <w:t>פותחת</w:t>
      </w:r>
      <w:r w:rsidRPr="003B469A">
        <w:rPr>
          <w:rFonts w:cs="David"/>
          <w:szCs w:val="24"/>
          <w:rtl/>
        </w:rPr>
        <w:t xml:space="preserve"> את השנה כסדרה</w:t>
      </w:r>
      <w:r>
        <w:rPr>
          <w:rFonts w:cs="David" w:hint="cs"/>
          <w:szCs w:val="24"/>
          <w:rtl/>
        </w:rPr>
        <w:t xml:space="preserve">. פלג </w:t>
      </w:r>
      <w:r w:rsidRPr="003B469A">
        <w:rPr>
          <w:rFonts w:cs="David"/>
          <w:szCs w:val="24"/>
          <w:rtl/>
        </w:rPr>
        <w:t xml:space="preserve">קרא לעמיתיו ללכת בדרכי אורט. </w:t>
      </w:r>
    </w:p>
    <w:p w:rsidR="00DB585C" w:rsidRPr="003B469A" w:rsidRDefault="00DB585C" w:rsidP="001A033F">
      <w:pPr>
        <w:spacing w:line="25" w:lineRule="atLeast"/>
        <w:rPr>
          <w:rFonts w:cs="David"/>
          <w:szCs w:val="24"/>
          <w:rtl/>
        </w:rPr>
      </w:pPr>
    </w:p>
    <w:p w:rsidR="00DB585C" w:rsidRDefault="00DB585C" w:rsidP="001A033F">
      <w:pPr>
        <w:spacing w:line="25" w:lineRule="atLeast"/>
        <w:rPr>
          <w:rFonts w:cs="David"/>
          <w:szCs w:val="24"/>
          <w:rtl/>
        </w:rPr>
      </w:pPr>
    </w:p>
    <w:p w:rsidR="00157EDD" w:rsidRDefault="00157EDD" w:rsidP="00627658">
      <w:pPr>
        <w:spacing w:line="360" w:lineRule="auto"/>
        <w:jc w:val="center"/>
        <w:rPr>
          <w:rFonts w:cs="David"/>
          <w:szCs w:val="24"/>
          <w:rtl/>
        </w:rPr>
      </w:pPr>
    </w:p>
    <w:sectPr w:rsidR="00157EDD" w:rsidSect="00CD4D8F">
      <w:footerReference w:type="default" r:id="rId11"/>
      <w:headerReference w:type="first" r:id="rId12"/>
      <w:footerReference w:type="first" r:id="rId13"/>
      <w:pgSz w:w="11906" w:h="16838"/>
      <w:pgMar w:top="1780" w:right="1418" w:bottom="1134" w:left="1418" w:header="142" w:footer="34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80" w:rsidRDefault="00A81C80" w:rsidP="00157EDD">
      <w:r>
        <w:separator/>
      </w:r>
    </w:p>
  </w:endnote>
  <w:endnote w:type="continuationSeparator" w:id="1">
    <w:p w:rsidR="00A81C80" w:rsidRDefault="00A81C80" w:rsidP="0015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DD" w:rsidRPr="002D5772" w:rsidRDefault="00157EDD" w:rsidP="00157EDD">
    <w:pPr>
      <w:pStyle w:val="aa"/>
      <w:pBdr>
        <w:top w:val="single" w:sz="6" w:space="1" w:color="auto"/>
      </w:pBdr>
      <w:rPr>
        <w:sz w:val="4"/>
        <w:szCs w:val="4"/>
        <w:rtl/>
      </w:rPr>
    </w:pPr>
    <w:r w:rsidRPr="002D5772">
      <w:rPr>
        <w:b/>
        <w:bCs/>
        <w:sz w:val="22"/>
        <w:szCs w:val="22"/>
        <w:rtl/>
      </w:rPr>
      <w:t>רח' קפלן 1, הקריה ירושלים 91</w:t>
    </w:r>
    <w:r w:rsidRPr="002D5772">
      <w:rPr>
        <w:rFonts w:hint="cs"/>
        <w:b/>
        <w:bCs/>
        <w:sz w:val="22"/>
        <w:szCs w:val="22"/>
        <w:rtl/>
      </w:rPr>
      <w:t>030</w:t>
    </w:r>
    <w:r w:rsidRPr="002D5772">
      <w:rPr>
        <w:b/>
        <w:bCs/>
        <w:sz w:val="22"/>
        <w:szCs w:val="22"/>
        <w:rtl/>
      </w:rPr>
      <w:t xml:space="preserve"> טל':</w:t>
    </w:r>
    <w:r w:rsidRPr="002D5772">
      <w:rPr>
        <w:rFonts w:hAnsi="Narkisim"/>
        <w:b/>
        <w:bCs/>
        <w:sz w:val="22"/>
        <w:szCs w:val="22"/>
      </w:rPr>
      <w:t>02-5317201</w:t>
    </w:r>
    <w:r w:rsidRPr="002D5772">
      <w:rPr>
        <w:b/>
        <w:bCs/>
        <w:sz w:val="22"/>
        <w:szCs w:val="22"/>
        <w:rtl/>
      </w:rPr>
      <w:t xml:space="preserve"> פקס':</w:t>
    </w:r>
    <w:r w:rsidRPr="002D5772">
      <w:rPr>
        <w:rFonts w:hAnsi="Narkisim"/>
        <w:b/>
        <w:bCs/>
        <w:sz w:val="22"/>
        <w:szCs w:val="22"/>
      </w:rPr>
      <w:t>02-56</w:t>
    </w:r>
    <w:r w:rsidRPr="002D5772">
      <w:rPr>
        <w:b/>
        <w:bCs/>
        <w:sz w:val="22"/>
        <w:szCs w:val="22"/>
      </w:rPr>
      <w:t>95355</w:t>
    </w:r>
    <w:r w:rsidRPr="002D5772">
      <w:rPr>
        <w:b/>
        <w:bCs/>
        <w:sz w:val="22"/>
        <w:szCs w:val="22"/>
        <w:rtl/>
      </w:rPr>
      <w:br/>
    </w:r>
  </w:p>
  <w:p w:rsidR="00157EDD" w:rsidRPr="00157EDD" w:rsidRDefault="00157EDD" w:rsidP="00157EDD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556"/>
        <w:tab w:val="right" w:pos="9638"/>
      </w:tabs>
      <w:rPr>
        <w:color w:val="0000FF"/>
        <w:sz w:val="22"/>
        <w:szCs w:val="22"/>
        <w:rtl/>
      </w:rPr>
    </w:pPr>
    <w:r w:rsidRPr="00157EDD">
      <w:rPr>
        <w:rFonts w:hint="cs"/>
        <w:sz w:val="22"/>
        <w:szCs w:val="22"/>
        <w:rtl/>
      </w:rPr>
      <w:t xml:space="preserve">דוא"ל: </w:t>
    </w:r>
    <w:hyperlink r:id="rId1" w:history="1">
      <w:r w:rsidRPr="00157EDD">
        <w:rPr>
          <w:rStyle w:val="Hyperlink"/>
          <w:sz w:val="22"/>
          <w:szCs w:val="22"/>
          <w:u w:val="none"/>
        </w:rPr>
        <w:t>dover@mof.gov.il</w:t>
      </w:r>
    </w:hyperlink>
    <w:r w:rsidRPr="00157EDD">
      <w:rPr>
        <w:rFonts w:hint="cs"/>
        <w:noProof/>
        <w:sz w:val="22"/>
        <w:szCs w:val="22"/>
        <w:lang w:eastAsia="en-US"/>
      </w:rPr>
      <w:drawing>
        <wp:inline distT="0" distB="0" distL="0" distR="0">
          <wp:extent cx="286385" cy="182880"/>
          <wp:effectExtent l="0" t="0" r="0" b="7620"/>
          <wp:docPr id="10" name="תמונה 10" descr="מוקטן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מוקטן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eastAsia="en-US"/>
      </w:rPr>
      <w:drawing>
        <wp:inline distT="0" distB="0" distL="0" distR="0">
          <wp:extent cx="167005" cy="174625"/>
          <wp:effectExtent l="0" t="0" r="4445" b="0"/>
          <wp:docPr id="11" name="תמונה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eastAsia="en-US"/>
      </w:rPr>
      <w:drawing>
        <wp:inline distT="0" distB="0" distL="0" distR="0">
          <wp:extent cx="198755" cy="182880"/>
          <wp:effectExtent l="0" t="0" r="0" b="7620"/>
          <wp:docPr id="12" name="תמונה 12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eastAsia="en-US"/>
      </w:rPr>
      <w:drawing>
        <wp:inline distT="0" distB="0" distL="0" distR="0">
          <wp:extent cx="191135" cy="174625"/>
          <wp:effectExtent l="0" t="0" r="0" b="0"/>
          <wp:docPr id="13" name="תמונה 13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Style w:val="Hyperlink"/>
        <w:rFonts w:hint="cs"/>
        <w:sz w:val="22"/>
        <w:szCs w:val="22"/>
        <w:u w:val="none"/>
        <w:rtl/>
      </w:rPr>
      <w:tab/>
      <w:t xml:space="preserve">      פורטל האוצר:</w:t>
    </w:r>
    <w:r w:rsidRPr="00157EDD">
      <w:rPr>
        <w:rStyle w:val="Hyperlink"/>
        <w:sz w:val="22"/>
        <w:szCs w:val="22"/>
        <w:u w:val="none"/>
      </w:rPr>
      <w:t>www.mof.gov.il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EB" w:rsidRPr="002D5772" w:rsidRDefault="00157EDD" w:rsidP="000876EB">
    <w:pPr>
      <w:pStyle w:val="aa"/>
      <w:pBdr>
        <w:top w:val="single" w:sz="6" w:space="1" w:color="auto"/>
      </w:pBdr>
      <w:rPr>
        <w:sz w:val="4"/>
        <w:szCs w:val="4"/>
        <w:rtl/>
      </w:rPr>
    </w:pPr>
    <w:r w:rsidRPr="002D5772">
      <w:rPr>
        <w:b/>
        <w:bCs/>
        <w:sz w:val="22"/>
        <w:szCs w:val="22"/>
        <w:rtl/>
      </w:rPr>
      <w:t>רח' קפלן 1, הקריה ירושלים 91</w:t>
    </w:r>
    <w:r w:rsidRPr="002D5772">
      <w:rPr>
        <w:rFonts w:hint="cs"/>
        <w:b/>
        <w:bCs/>
        <w:sz w:val="22"/>
        <w:szCs w:val="22"/>
        <w:rtl/>
      </w:rPr>
      <w:t>030</w:t>
    </w:r>
    <w:r w:rsidRPr="002D5772">
      <w:rPr>
        <w:b/>
        <w:bCs/>
        <w:sz w:val="22"/>
        <w:szCs w:val="22"/>
        <w:rtl/>
      </w:rPr>
      <w:t xml:space="preserve"> טל':</w:t>
    </w:r>
    <w:r w:rsidRPr="002D5772">
      <w:rPr>
        <w:rFonts w:hAnsi="Narkisim"/>
        <w:b/>
        <w:bCs/>
        <w:sz w:val="22"/>
        <w:szCs w:val="22"/>
      </w:rPr>
      <w:t>02-5317201</w:t>
    </w:r>
    <w:r w:rsidRPr="002D5772">
      <w:rPr>
        <w:b/>
        <w:bCs/>
        <w:sz w:val="22"/>
        <w:szCs w:val="22"/>
        <w:rtl/>
      </w:rPr>
      <w:t xml:space="preserve"> פקס':</w:t>
    </w:r>
    <w:r w:rsidRPr="002D5772">
      <w:rPr>
        <w:rFonts w:hAnsi="Narkisim"/>
        <w:b/>
        <w:bCs/>
        <w:sz w:val="22"/>
        <w:szCs w:val="22"/>
      </w:rPr>
      <w:t>02-56</w:t>
    </w:r>
    <w:r w:rsidRPr="002D5772">
      <w:rPr>
        <w:b/>
        <w:bCs/>
        <w:sz w:val="22"/>
        <w:szCs w:val="22"/>
      </w:rPr>
      <w:t>95355</w:t>
    </w:r>
    <w:r w:rsidRPr="002D5772">
      <w:rPr>
        <w:b/>
        <w:bCs/>
        <w:sz w:val="22"/>
        <w:szCs w:val="22"/>
        <w:rtl/>
      </w:rPr>
      <w:br/>
    </w:r>
  </w:p>
  <w:p w:rsidR="000876EB" w:rsidRPr="00157EDD" w:rsidRDefault="00157EDD" w:rsidP="00157EDD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556"/>
        <w:tab w:val="right" w:pos="9638"/>
      </w:tabs>
      <w:rPr>
        <w:color w:val="0000FF"/>
        <w:sz w:val="22"/>
        <w:szCs w:val="22"/>
        <w:rtl/>
      </w:rPr>
    </w:pPr>
    <w:r w:rsidRPr="00157EDD">
      <w:rPr>
        <w:rFonts w:hint="cs"/>
        <w:sz w:val="22"/>
        <w:szCs w:val="22"/>
        <w:rtl/>
      </w:rPr>
      <w:t xml:space="preserve">דוא"ל: </w:t>
    </w:r>
    <w:hyperlink r:id="rId1" w:history="1">
      <w:r w:rsidRPr="00157EDD">
        <w:rPr>
          <w:rStyle w:val="Hyperlink"/>
          <w:sz w:val="22"/>
          <w:szCs w:val="22"/>
          <w:u w:val="none"/>
        </w:rPr>
        <w:t>dover@mof.gov.il</w:t>
      </w:r>
    </w:hyperlink>
    <w:r w:rsidRPr="00157EDD">
      <w:rPr>
        <w:rFonts w:hint="cs"/>
        <w:noProof/>
        <w:sz w:val="22"/>
        <w:szCs w:val="22"/>
        <w:lang w:eastAsia="en-US"/>
      </w:rPr>
      <w:drawing>
        <wp:inline distT="0" distB="0" distL="0" distR="0">
          <wp:extent cx="286385" cy="182880"/>
          <wp:effectExtent l="0" t="0" r="0" b="7620"/>
          <wp:docPr id="4" name="תמונה 4" descr="מוקטן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מוקטן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eastAsia="en-US"/>
      </w:rPr>
      <w:drawing>
        <wp:inline distT="0" distB="0" distL="0" distR="0">
          <wp:extent cx="167005" cy="174625"/>
          <wp:effectExtent l="0" t="0" r="4445" b="0"/>
          <wp:docPr id="3" name="תמונה 3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eastAsia="en-US"/>
      </w:rPr>
      <w:drawing>
        <wp:inline distT="0" distB="0" distL="0" distR="0">
          <wp:extent cx="198755" cy="182880"/>
          <wp:effectExtent l="0" t="0" r="0" b="7620"/>
          <wp:docPr id="2" name="תמונה 2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eastAsia="en-US"/>
      </w:rPr>
      <w:drawing>
        <wp:inline distT="0" distB="0" distL="0" distR="0">
          <wp:extent cx="191135" cy="174625"/>
          <wp:effectExtent l="0" t="0" r="0" b="0"/>
          <wp:docPr id="1" name="תמונה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Style w:val="Hyperlink"/>
        <w:rFonts w:hint="cs"/>
        <w:sz w:val="22"/>
        <w:szCs w:val="22"/>
        <w:u w:val="none"/>
        <w:rtl/>
      </w:rPr>
      <w:tab/>
      <w:t xml:space="preserve">      פורטל האוצר:</w:t>
    </w:r>
    <w:r w:rsidRPr="00157EDD">
      <w:rPr>
        <w:rStyle w:val="Hyperlink"/>
        <w:sz w:val="22"/>
        <w:szCs w:val="22"/>
        <w:u w:val="none"/>
      </w:rPr>
      <w:t>www.mof.gov.il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80" w:rsidRDefault="00A81C80" w:rsidP="00157EDD">
      <w:r>
        <w:separator/>
      </w:r>
    </w:p>
  </w:footnote>
  <w:footnote w:type="continuationSeparator" w:id="1">
    <w:p w:rsidR="00A81C80" w:rsidRDefault="00A81C80" w:rsidP="00157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8F" w:rsidRDefault="00CD4D8F" w:rsidP="00A22924">
    <w:pPr>
      <w:pStyle w:val="a8"/>
      <w:tabs>
        <w:tab w:val="left" w:pos="4061"/>
        <w:tab w:val="center" w:pos="4590"/>
      </w:tabs>
      <w:jc w:val="left"/>
      <w:rPr>
        <w:b/>
        <w:bCs/>
        <w:szCs w:val="40"/>
        <w:rtl/>
      </w:rPr>
    </w:pPr>
  </w:p>
  <w:p w:rsidR="000876EB" w:rsidRDefault="00A22924" w:rsidP="00A22924">
    <w:pPr>
      <w:pStyle w:val="a8"/>
      <w:tabs>
        <w:tab w:val="left" w:pos="4061"/>
        <w:tab w:val="center" w:pos="4590"/>
      </w:tabs>
      <w:jc w:val="left"/>
      <w:rPr>
        <w:b/>
        <w:bCs/>
        <w:szCs w:val="40"/>
        <w:rtl/>
      </w:rPr>
    </w:pPr>
    <w:r>
      <w:rPr>
        <w:b/>
        <w:bCs/>
        <w:szCs w:val="40"/>
        <w:rtl/>
      </w:rPr>
      <w:tab/>
    </w:r>
    <w:r>
      <w:rPr>
        <w:b/>
        <w:bCs/>
        <w:szCs w:val="40"/>
        <w:rtl/>
      </w:rPr>
      <w:tab/>
    </w:r>
    <w:r w:rsidR="00157EDD">
      <w:rPr>
        <w:b/>
        <w:bCs/>
        <w:noProof/>
        <w:szCs w:val="40"/>
        <w:rtl/>
        <w:lang w:eastAsia="en-US"/>
      </w:rPr>
      <w:drawing>
        <wp:inline distT="0" distB="0" distL="0" distR="0">
          <wp:extent cx="540385" cy="691515"/>
          <wp:effectExtent l="0" t="0" r="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6EB" w:rsidRPr="00185B47" w:rsidRDefault="00157EDD" w:rsidP="000876EB">
    <w:pPr>
      <w:pStyle w:val="a8"/>
      <w:jc w:val="center"/>
      <w:rPr>
        <w:rFonts w:cs="David"/>
        <w:szCs w:val="34"/>
        <w:rtl/>
      </w:rPr>
    </w:pPr>
    <w:r w:rsidRPr="00185B47">
      <w:rPr>
        <w:rFonts w:cs="David"/>
        <w:szCs w:val="34"/>
        <w:rtl/>
      </w:rPr>
      <w:t>משרד האוצר</w:t>
    </w:r>
  </w:p>
  <w:p w:rsidR="000876EB" w:rsidRPr="00185B47" w:rsidRDefault="00157EDD" w:rsidP="000876EB">
    <w:pPr>
      <w:pStyle w:val="a8"/>
      <w:jc w:val="center"/>
      <w:rPr>
        <w:rFonts w:cs="David"/>
        <w:b/>
        <w:bCs/>
        <w:szCs w:val="28"/>
        <w:rtl/>
      </w:rPr>
    </w:pPr>
    <w:r w:rsidRPr="00185B47">
      <w:rPr>
        <w:rFonts w:cs="David"/>
        <w:b/>
        <w:bCs/>
        <w:szCs w:val="28"/>
        <w:rtl/>
      </w:rPr>
      <w:t>דוברות והסברה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797"/>
    <w:multiLevelType w:val="multilevel"/>
    <w:tmpl w:val="CB2CFB36"/>
    <w:numStyleLink w:val="-"/>
  </w:abstractNum>
  <w:abstractNum w:abstractNumId="1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0D37"/>
    <w:multiLevelType w:val="multilevel"/>
    <w:tmpl w:val="2C7611E6"/>
    <w:numStyleLink w:val="-0"/>
  </w:abstractNum>
  <w:abstractNum w:abstractNumId="4">
    <w:nsid w:val="477D4CEE"/>
    <w:multiLevelType w:val="multilevel"/>
    <w:tmpl w:val="2C7611E6"/>
    <w:numStyleLink w:val="-0"/>
  </w:abstractNum>
  <w:abstractNum w:abstractNumId="5">
    <w:nsid w:val="52C63965"/>
    <w:multiLevelType w:val="multilevel"/>
    <w:tmpl w:val="CB2CFB36"/>
    <w:numStyleLink w:val="-"/>
  </w:abstractNum>
  <w:abstractNum w:abstractNumId="6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8"/>
  <w:stylePaneSortMethod w:val="00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57EDD"/>
    <w:rsid w:val="00014182"/>
    <w:rsid w:val="00047C97"/>
    <w:rsid w:val="000520B7"/>
    <w:rsid w:val="000568CE"/>
    <w:rsid w:val="00066383"/>
    <w:rsid w:val="000876EB"/>
    <w:rsid w:val="00093B9D"/>
    <w:rsid w:val="000C04AE"/>
    <w:rsid w:val="000E6098"/>
    <w:rsid w:val="000E632C"/>
    <w:rsid w:val="0010326C"/>
    <w:rsid w:val="00157EDD"/>
    <w:rsid w:val="001611C6"/>
    <w:rsid w:val="00164B30"/>
    <w:rsid w:val="00164C1C"/>
    <w:rsid w:val="0018292D"/>
    <w:rsid w:val="001A033F"/>
    <w:rsid w:val="001A13FE"/>
    <w:rsid w:val="001A7C42"/>
    <w:rsid w:val="001C4F6D"/>
    <w:rsid w:val="001D55DD"/>
    <w:rsid w:val="001E548A"/>
    <w:rsid w:val="001E5B05"/>
    <w:rsid w:val="00220FCD"/>
    <w:rsid w:val="00275887"/>
    <w:rsid w:val="002A54A3"/>
    <w:rsid w:val="002A7FEA"/>
    <w:rsid w:val="002E38F4"/>
    <w:rsid w:val="002F197C"/>
    <w:rsid w:val="00325E01"/>
    <w:rsid w:val="00361114"/>
    <w:rsid w:val="003840FE"/>
    <w:rsid w:val="00393C6A"/>
    <w:rsid w:val="003A1D7A"/>
    <w:rsid w:val="003B469A"/>
    <w:rsid w:val="003C3A5C"/>
    <w:rsid w:val="003F1396"/>
    <w:rsid w:val="003F2436"/>
    <w:rsid w:val="0040055E"/>
    <w:rsid w:val="00423D6A"/>
    <w:rsid w:val="00426E0E"/>
    <w:rsid w:val="004323EF"/>
    <w:rsid w:val="004410DE"/>
    <w:rsid w:val="00445C4C"/>
    <w:rsid w:val="0044663B"/>
    <w:rsid w:val="00451F2E"/>
    <w:rsid w:val="004523EB"/>
    <w:rsid w:val="00452D7A"/>
    <w:rsid w:val="004A1E6B"/>
    <w:rsid w:val="004C127D"/>
    <w:rsid w:val="004C5538"/>
    <w:rsid w:val="004D65A1"/>
    <w:rsid w:val="004E479D"/>
    <w:rsid w:val="004F3773"/>
    <w:rsid w:val="005016AD"/>
    <w:rsid w:val="005028F9"/>
    <w:rsid w:val="00505D36"/>
    <w:rsid w:val="00515321"/>
    <w:rsid w:val="00515E5C"/>
    <w:rsid w:val="00534452"/>
    <w:rsid w:val="005371D8"/>
    <w:rsid w:val="00556BE2"/>
    <w:rsid w:val="005D42E4"/>
    <w:rsid w:val="005F53E6"/>
    <w:rsid w:val="00600BFA"/>
    <w:rsid w:val="00600F1F"/>
    <w:rsid w:val="00602DAD"/>
    <w:rsid w:val="006071AD"/>
    <w:rsid w:val="00627658"/>
    <w:rsid w:val="006309B0"/>
    <w:rsid w:val="0065263B"/>
    <w:rsid w:val="00657293"/>
    <w:rsid w:val="0066664E"/>
    <w:rsid w:val="00674118"/>
    <w:rsid w:val="0067458D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6164"/>
    <w:rsid w:val="00727C36"/>
    <w:rsid w:val="00735D55"/>
    <w:rsid w:val="00743847"/>
    <w:rsid w:val="00751B50"/>
    <w:rsid w:val="00757313"/>
    <w:rsid w:val="00757879"/>
    <w:rsid w:val="007611DA"/>
    <w:rsid w:val="00793E5C"/>
    <w:rsid w:val="007A373A"/>
    <w:rsid w:val="007A6AD0"/>
    <w:rsid w:val="007D4118"/>
    <w:rsid w:val="007E2692"/>
    <w:rsid w:val="0080160A"/>
    <w:rsid w:val="0081532B"/>
    <w:rsid w:val="0082739B"/>
    <w:rsid w:val="00864DB3"/>
    <w:rsid w:val="00867AE5"/>
    <w:rsid w:val="00870D8A"/>
    <w:rsid w:val="008B39D7"/>
    <w:rsid w:val="008C38E3"/>
    <w:rsid w:val="008E77BE"/>
    <w:rsid w:val="00910BC9"/>
    <w:rsid w:val="00911FFD"/>
    <w:rsid w:val="00915C9A"/>
    <w:rsid w:val="00935E81"/>
    <w:rsid w:val="0096202F"/>
    <w:rsid w:val="00986444"/>
    <w:rsid w:val="00990A24"/>
    <w:rsid w:val="009B64FE"/>
    <w:rsid w:val="009E52B5"/>
    <w:rsid w:val="009F7F7A"/>
    <w:rsid w:val="00A15876"/>
    <w:rsid w:val="00A15D5D"/>
    <w:rsid w:val="00A22924"/>
    <w:rsid w:val="00A30921"/>
    <w:rsid w:val="00A5751E"/>
    <w:rsid w:val="00A67A4F"/>
    <w:rsid w:val="00A7396A"/>
    <w:rsid w:val="00A73972"/>
    <w:rsid w:val="00A81C80"/>
    <w:rsid w:val="00A84333"/>
    <w:rsid w:val="00A84658"/>
    <w:rsid w:val="00AA4752"/>
    <w:rsid w:val="00AB5040"/>
    <w:rsid w:val="00AD0167"/>
    <w:rsid w:val="00AF1C47"/>
    <w:rsid w:val="00B03E2B"/>
    <w:rsid w:val="00B041F7"/>
    <w:rsid w:val="00B311D4"/>
    <w:rsid w:val="00B429D7"/>
    <w:rsid w:val="00B60EE6"/>
    <w:rsid w:val="00B67385"/>
    <w:rsid w:val="00B93390"/>
    <w:rsid w:val="00B93A25"/>
    <w:rsid w:val="00BB393A"/>
    <w:rsid w:val="00BD67E7"/>
    <w:rsid w:val="00C01906"/>
    <w:rsid w:val="00C171DC"/>
    <w:rsid w:val="00C27AC8"/>
    <w:rsid w:val="00C37F33"/>
    <w:rsid w:val="00C762E9"/>
    <w:rsid w:val="00C84ABA"/>
    <w:rsid w:val="00CA61AF"/>
    <w:rsid w:val="00CB40A4"/>
    <w:rsid w:val="00CC356E"/>
    <w:rsid w:val="00CD4D8F"/>
    <w:rsid w:val="00CD6DB8"/>
    <w:rsid w:val="00CE0517"/>
    <w:rsid w:val="00CF44BB"/>
    <w:rsid w:val="00D33979"/>
    <w:rsid w:val="00D66453"/>
    <w:rsid w:val="00D731DA"/>
    <w:rsid w:val="00D87CFE"/>
    <w:rsid w:val="00D969C1"/>
    <w:rsid w:val="00DB585C"/>
    <w:rsid w:val="00DD5320"/>
    <w:rsid w:val="00DE069A"/>
    <w:rsid w:val="00DE7CC8"/>
    <w:rsid w:val="00DF73FF"/>
    <w:rsid w:val="00E41B31"/>
    <w:rsid w:val="00E56588"/>
    <w:rsid w:val="00E56B2F"/>
    <w:rsid w:val="00E95EEF"/>
    <w:rsid w:val="00EA6729"/>
    <w:rsid w:val="00EB7198"/>
    <w:rsid w:val="00EC303E"/>
    <w:rsid w:val="00EF71D7"/>
    <w:rsid w:val="00F00D41"/>
    <w:rsid w:val="00F0592A"/>
    <w:rsid w:val="00F25ABF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DD"/>
    <w:pPr>
      <w:bidi/>
      <w:spacing w:before="0" w:after="0" w:line="240" w:lineRule="auto"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1">
    <w:name w:val="heading 1"/>
    <w:basedOn w:val="a"/>
    <w:next w:val="a"/>
    <w:link w:val="10"/>
    <w:qFormat/>
    <w:rsid w:val="003A1D7A"/>
    <w:pPr>
      <w:widowControl w:val="0"/>
      <w:spacing w:before="120" w:line="360" w:lineRule="auto"/>
      <w:outlineLvl w:val="0"/>
    </w:pPr>
    <w:rPr>
      <w:rFonts w:eastAsiaTheme="minorHAnsi" w:cs="David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eastAsiaTheme="minorHAnsi" w:cs="David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line="360" w:lineRule="auto"/>
      <w:outlineLvl w:val="2"/>
    </w:pPr>
    <w:rPr>
      <w:rFonts w:eastAsiaTheme="minorHAnsi" w:cs="David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eastAsiaTheme="minorHAnsi" w:cs="David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eastAsiaTheme="minorHAnsi" w:cs="David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eastAsiaTheme="minorHAnsi" w:cs="David"/>
      <w:i/>
      <w:iCs/>
      <w:szCs w:val="24"/>
      <w:lang w:eastAsia="en-US"/>
    </w:rPr>
  </w:style>
  <w:style w:type="character" w:customStyle="1" w:styleId="a4">
    <w:name w:val="הצעת מחיר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eastAsiaTheme="minorHAnsi" w:cs="David"/>
      <w:b/>
      <w:bCs/>
      <w:color w:val="365F91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eastAsiaTheme="minorHAnsi" w:cs="David"/>
      <w:szCs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eastAsiaTheme="minorHAnsi" w:cs="David"/>
      <w:szCs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eastAsiaTheme="minorHAnsi" w:cs="David"/>
      <w:szCs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eastAsiaTheme="minorHAnsi" w:cs="David"/>
      <w:szCs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eastAsiaTheme="minorHAnsi" w:cs="David"/>
      <w:szCs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eastAsiaTheme="minorHAnsi" w:cs="David"/>
      <w:szCs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eastAsiaTheme="minorHAnsi" w:cs="David"/>
      <w:szCs w:val="24"/>
      <w:lang w:eastAsia="en-US"/>
    </w:rPr>
  </w:style>
  <w:style w:type="paragraph" w:styleId="a7">
    <w:name w:val="List Paragraph"/>
    <w:basedOn w:val="a"/>
    <w:uiPriority w:val="34"/>
    <w:rsid w:val="00FE3193"/>
    <w:pPr>
      <w:spacing w:before="120" w:after="120" w:line="360" w:lineRule="auto"/>
      <w:ind w:left="720"/>
      <w:contextualSpacing/>
    </w:pPr>
    <w:rPr>
      <w:rFonts w:eastAsiaTheme="minorHAnsi" w:cs="David"/>
      <w:szCs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rsid w:val="00157EDD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rsid w:val="00157EDD"/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aa">
    <w:name w:val="footer"/>
    <w:basedOn w:val="a"/>
    <w:link w:val="ab"/>
    <w:rsid w:val="00157EDD"/>
    <w:pPr>
      <w:widowControl w:val="0"/>
      <w:tabs>
        <w:tab w:val="center" w:pos="4153"/>
        <w:tab w:val="right" w:pos="8306"/>
      </w:tabs>
    </w:pPr>
    <w:rPr>
      <w:rFonts w:cs="David"/>
    </w:rPr>
  </w:style>
  <w:style w:type="character" w:customStyle="1" w:styleId="ab">
    <w:name w:val="כותרת תחתונה תו"/>
    <w:basedOn w:val="a0"/>
    <w:link w:val="aa"/>
    <w:rsid w:val="00157EDD"/>
    <w:rPr>
      <w:rFonts w:ascii="Times New Roman" w:eastAsia="Times New Roman" w:hAnsi="Times New Roman" w:cs="David"/>
      <w:sz w:val="24"/>
      <w:szCs w:val="26"/>
      <w:lang w:eastAsia="he-IL"/>
    </w:rPr>
  </w:style>
  <w:style w:type="character" w:styleId="Hyperlink">
    <w:name w:val="Hyperlink"/>
    <w:rsid w:val="00157ED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7EDD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157EDD"/>
    <w:rPr>
      <w:rFonts w:ascii="Tahoma" w:eastAsia="Times New Roman" w:hAnsi="Tahoma" w:cs="Tahoma"/>
      <w:sz w:val="16"/>
      <w:szCs w:val="16"/>
      <w:lang w:eastAsia="he-IL"/>
    </w:rPr>
  </w:style>
  <w:style w:type="paragraph" w:styleId="NormalWeb">
    <w:name w:val="Normal (Web)"/>
    <w:basedOn w:val="a"/>
    <w:uiPriority w:val="99"/>
    <w:semiHidden/>
    <w:unhideWhenUsed/>
    <w:rsid w:val="001E5B05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DD"/>
    <w:pPr>
      <w:bidi/>
      <w:spacing w:before="0" w:after="0" w:line="240" w:lineRule="auto"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1">
    <w:name w:val="heading 1"/>
    <w:basedOn w:val="a"/>
    <w:next w:val="a"/>
    <w:link w:val="10"/>
    <w:qFormat/>
    <w:rsid w:val="003A1D7A"/>
    <w:pPr>
      <w:widowControl w:val="0"/>
      <w:spacing w:before="120" w:line="360" w:lineRule="auto"/>
      <w:outlineLvl w:val="0"/>
    </w:pPr>
    <w:rPr>
      <w:rFonts w:eastAsiaTheme="minorHAnsi" w:cs="David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eastAsiaTheme="minorHAnsi" w:cs="David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line="360" w:lineRule="auto"/>
      <w:outlineLvl w:val="2"/>
    </w:pPr>
    <w:rPr>
      <w:rFonts w:eastAsiaTheme="minorHAnsi" w:cs="David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eastAsiaTheme="minorHAnsi" w:cs="David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eastAsiaTheme="minorHAnsi" w:cs="David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eastAsiaTheme="minorHAnsi" w:cs="David"/>
      <w:i/>
      <w:iCs/>
      <w:szCs w:val="24"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eastAsiaTheme="minorHAnsi" w:cs="David"/>
      <w:b/>
      <w:bCs/>
      <w:color w:val="365F91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eastAsiaTheme="minorHAnsi" w:cs="David"/>
      <w:szCs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eastAsiaTheme="minorHAnsi" w:cs="David"/>
      <w:szCs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eastAsiaTheme="minorHAnsi" w:cs="David"/>
      <w:szCs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eastAsiaTheme="minorHAnsi" w:cs="David"/>
      <w:szCs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eastAsiaTheme="minorHAnsi" w:cs="David"/>
      <w:szCs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eastAsiaTheme="minorHAnsi" w:cs="David"/>
      <w:szCs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eastAsiaTheme="minorHAnsi" w:cs="David"/>
      <w:szCs w:val="24"/>
      <w:lang w:eastAsia="en-US"/>
    </w:rPr>
  </w:style>
  <w:style w:type="paragraph" w:styleId="a7">
    <w:name w:val="List Paragraph"/>
    <w:basedOn w:val="a"/>
    <w:uiPriority w:val="34"/>
    <w:rsid w:val="00FE3193"/>
    <w:pPr>
      <w:spacing w:before="120" w:after="120" w:line="360" w:lineRule="auto"/>
      <w:ind w:left="720"/>
      <w:contextualSpacing/>
    </w:pPr>
    <w:rPr>
      <w:rFonts w:eastAsiaTheme="minorHAnsi" w:cs="David"/>
      <w:szCs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rsid w:val="00157EDD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rsid w:val="00157EDD"/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aa">
    <w:name w:val="footer"/>
    <w:basedOn w:val="a"/>
    <w:link w:val="ab"/>
    <w:rsid w:val="00157EDD"/>
    <w:pPr>
      <w:widowControl w:val="0"/>
      <w:tabs>
        <w:tab w:val="center" w:pos="4153"/>
        <w:tab w:val="right" w:pos="8306"/>
      </w:tabs>
    </w:pPr>
    <w:rPr>
      <w:rFonts w:cs="David"/>
    </w:rPr>
  </w:style>
  <w:style w:type="character" w:customStyle="1" w:styleId="ab">
    <w:name w:val="כותרת תחתונה תו"/>
    <w:basedOn w:val="a0"/>
    <w:link w:val="aa"/>
    <w:rsid w:val="00157EDD"/>
    <w:rPr>
      <w:rFonts w:ascii="Times New Roman" w:eastAsia="Times New Roman" w:hAnsi="Times New Roman" w:cs="David"/>
      <w:sz w:val="24"/>
      <w:szCs w:val="26"/>
      <w:lang w:eastAsia="he-IL"/>
    </w:rPr>
  </w:style>
  <w:style w:type="character" w:styleId="Hyperlink">
    <w:name w:val="Hyperlink"/>
    <w:rsid w:val="00157ED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7EDD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157EDD"/>
    <w:rPr>
      <w:rFonts w:ascii="Tahoma" w:eastAsia="Times New Roman" w:hAnsi="Tahoma" w:cs="Tahoma"/>
      <w:sz w:val="16"/>
      <w:szCs w:val="16"/>
      <w:lang w:eastAsia="he-IL"/>
    </w:rPr>
  </w:style>
  <w:style w:type="paragraph" w:styleId="NormalWeb">
    <w:name w:val="Normal (Web)"/>
    <w:basedOn w:val="a"/>
    <w:uiPriority w:val="99"/>
    <w:semiHidden/>
    <w:unhideWhenUsed/>
    <w:rsid w:val="001E5B05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5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israelimof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hyperlink" Target="http://www.gov.il/" TargetMode="External"/><Relationship Id="rId1" Type="http://schemas.openxmlformats.org/officeDocument/2006/relationships/hyperlink" Target="mailto:dover@mof.gov.il" TargetMode="External"/><Relationship Id="rId6" Type="http://schemas.openxmlformats.org/officeDocument/2006/relationships/hyperlink" Target="http://twitter.com/israel_mof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facebook.com/Israeli.Ministry.of.Finance" TargetMode="External"/><Relationship Id="rId9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israelimof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hyperlink" Target="http://www.gov.il/" TargetMode="External"/><Relationship Id="rId1" Type="http://schemas.openxmlformats.org/officeDocument/2006/relationships/hyperlink" Target="mailto:dover@mof.gov.il" TargetMode="External"/><Relationship Id="rId6" Type="http://schemas.openxmlformats.org/officeDocument/2006/relationships/hyperlink" Target="http://twitter.com/israel_mof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facebook.com/Israeli.Ministry.of.Finance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1E4377-EB47-4698-800E-F2E07DB0180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078311-5049-46BA-BC37-CB46427254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E22D6E-60D5-40DC-B87D-AA9B7C27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00488-E886-4EAF-A6B7-57EEAB9E1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זאב תמיר</dc:creator>
  <cp:lastModifiedBy>עומר גנדלר</cp:lastModifiedBy>
  <cp:revision>2</cp:revision>
  <cp:lastPrinted>2013-10-13T10:03:00Z</cp:lastPrinted>
  <dcterms:created xsi:type="dcterms:W3CDTF">2013-10-13T11:11:00Z</dcterms:created>
  <dcterms:modified xsi:type="dcterms:W3CDTF">2013-10-13T11:11:00Z</dcterms:modified>
</cp:coreProperties>
</file>