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F3DE" w14:textId="77777777" w:rsidR="00DF52A6" w:rsidRDefault="00DF52A6" w:rsidP="005F0271">
      <w:pPr>
        <w:jc w:val="center"/>
        <w:rPr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1DCF0890" wp14:editId="2A883D21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968EF" w14:textId="77777777" w:rsidR="00DF52A6" w:rsidRDefault="00DF52A6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14:paraId="517F23A4" w14:textId="5B9D0DDB" w:rsidR="00DF52A6" w:rsidRDefault="00DF52A6" w:rsidP="00DF52A6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161308669" w:history="1">
        <w:r w:rsidRPr="000C1025">
          <w:rPr>
            <w:rStyle w:val="Hyperlink"/>
            <w:noProof/>
            <w:rtl/>
          </w:rPr>
          <w:t>טיוטת צו התקשורת (בזק ושידורים) (פטור מאישור סוג לציוד קצה)(תיקון), התשפ"ד-2024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Toc161308669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14:paraId="15872612" w14:textId="2B10C69E" w:rsidR="00DF52A6" w:rsidRDefault="00CB5EC7" w:rsidP="00DF52A6">
      <w:pPr>
        <w:pStyle w:val="TOC4"/>
        <w:rPr>
          <w:rFonts w:cstheme="minorBidi"/>
          <w:rtl/>
        </w:rPr>
      </w:pPr>
      <w:hyperlink w:anchor="_Toc161308670" w:history="1">
        <w:r w:rsidR="00DF52A6" w:rsidRPr="000C1025">
          <w:rPr>
            <w:rStyle w:val="Hyperlink"/>
            <w:rtl/>
          </w:rPr>
          <w:t>א. שם הצו המוצע</w:t>
        </w:r>
        <w:r w:rsidR="00DF52A6">
          <w:rPr>
            <w:webHidden/>
            <w:rtl/>
          </w:rPr>
          <w:tab/>
        </w:r>
        <w:r w:rsidR="00DF52A6">
          <w:rPr>
            <w:webHidden/>
            <w:rtl/>
          </w:rPr>
          <w:fldChar w:fldCharType="begin"/>
        </w:r>
        <w:r w:rsidR="00DF52A6">
          <w:rPr>
            <w:webHidden/>
            <w:rtl/>
          </w:rPr>
          <w:instrText xml:space="preserve"> </w:instrText>
        </w:r>
        <w:r w:rsidR="00DF52A6">
          <w:rPr>
            <w:webHidden/>
          </w:rPr>
          <w:instrText>PAGEREF</w:instrText>
        </w:r>
        <w:r w:rsidR="00DF52A6">
          <w:rPr>
            <w:webHidden/>
            <w:rtl/>
          </w:rPr>
          <w:instrText xml:space="preserve"> _</w:instrText>
        </w:r>
        <w:r w:rsidR="00DF52A6">
          <w:rPr>
            <w:webHidden/>
          </w:rPr>
          <w:instrText>Toc161308670 \h</w:instrText>
        </w:r>
        <w:r w:rsidR="00DF52A6">
          <w:rPr>
            <w:webHidden/>
            <w:rtl/>
          </w:rPr>
          <w:instrText xml:space="preserve"> </w:instrText>
        </w:r>
        <w:r w:rsidR="00DF52A6">
          <w:rPr>
            <w:webHidden/>
            <w:rtl/>
          </w:rPr>
        </w:r>
        <w:r w:rsidR="00DF52A6">
          <w:rPr>
            <w:webHidden/>
            <w:rtl/>
          </w:rPr>
          <w:fldChar w:fldCharType="separate"/>
        </w:r>
        <w:r w:rsidR="00DF52A6">
          <w:rPr>
            <w:webHidden/>
            <w:rtl/>
          </w:rPr>
          <w:t>2</w:t>
        </w:r>
        <w:r w:rsidR="00DF52A6">
          <w:rPr>
            <w:webHidden/>
            <w:rtl/>
          </w:rPr>
          <w:fldChar w:fldCharType="end"/>
        </w:r>
      </w:hyperlink>
    </w:p>
    <w:p w14:paraId="7CCC2BB2" w14:textId="46D5A7F1" w:rsidR="00DF52A6" w:rsidRDefault="00CB5EC7" w:rsidP="00DF52A6">
      <w:pPr>
        <w:pStyle w:val="TOC4"/>
        <w:rPr>
          <w:rFonts w:cstheme="minorBidi"/>
          <w:rtl/>
        </w:rPr>
      </w:pPr>
      <w:hyperlink w:anchor="_Toc161308671" w:history="1">
        <w:r w:rsidR="00DF52A6" w:rsidRPr="000C1025">
          <w:rPr>
            <w:rStyle w:val="Hyperlink"/>
            <w:rtl/>
          </w:rPr>
          <w:t>ב. מטרת הצו המוצע והצורך בו</w:t>
        </w:r>
        <w:r w:rsidR="00DF52A6">
          <w:rPr>
            <w:webHidden/>
            <w:rtl/>
          </w:rPr>
          <w:tab/>
        </w:r>
        <w:r w:rsidR="00DF52A6">
          <w:rPr>
            <w:webHidden/>
            <w:rtl/>
          </w:rPr>
          <w:fldChar w:fldCharType="begin"/>
        </w:r>
        <w:r w:rsidR="00DF52A6">
          <w:rPr>
            <w:webHidden/>
            <w:rtl/>
          </w:rPr>
          <w:instrText xml:space="preserve"> </w:instrText>
        </w:r>
        <w:r w:rsidR="00DF52A6">
          <w:rPr>
            <w:webHidden/>
          </w:rPr>
          <w:instrText>PAGEREF</w:instrText>
        </w:r>
        <w:r w:rsidR="00DF52A6">
          <w:rPr>
            <w:webHidden/>
            <w:rtl/>
          </w:rPr>
          <w:instrText xml:space="preserve"> _</w:instrText>
        </w:r>
        <w:r w:rsidR="00DF52A6">
          <w:rPr>
            <w:webHidden/>
          </w:rPr>
          <w:instrText>Toc161308671 \h</w:instrText>
        </w:r>
        <w:r w:rsidR="00DF52A6">
          <w:rPr>
            <w:webHidden/>
            <w:rtl/>
          </w:rPr>
          <w:instrText xml:space="preserve"> </w:instrText>
        </w:r>
        <w:r w:rsidR="00DF52A6">
          <w:rPr>
            <w:webHidden/>
            <w:rtl/>
          </w:rPr>
        </w:r>
        <w:r w:rsidR="00DF52A6">
          <w:rPr>
            <w:webHidden/>
            <w:rtl/>
          </w:rPr>
          <w:fldChar w:fldCharType="separate"/>
        </w:r>
        <w:r w:rsidR="00DF52A6">
          <w:rPr>
            <w:webHidden/>
            <w:rtl/>
          </w:rPr>
          <w:t>2</w:t>
        </w:r>
        <w:r w:rsidR="00DF52A6">
          <w:rPr>
            <w:webHidden/>
            <w:rtl/>
          </w:rPr>
          <w:fldChar w:fldCharType="end"/>
        </w:r>
      </w:hyperlink>
    </w:p>
    <w:p w14:paraId="3FB53D7B" w14:textId="7963196F" w:rsidR="00DF52A6" w:rsidRDefault="00CB5EC7" w:rsidP="00DF52A6">
      <w:pPr>
        <w:pStyle w:val="TOC4"/>
        <w:rPr>
          <w:rFonts w:cstheme="minorBidi"/>
          <w:rtl/>
        </w:rPr>
      </w:pPr>
      <w:hyperlink w:anchor="_Toc161308672" w:history="1">
        <w:r w:rsidR="00DF52A6" w:rsidRPr="000C1025">
          <w:rPr>
            <w:rStyle w:val="Hyperlink"/>
            <w:rtl/>
          </w:rPr>
          <w:t>ג. להלן נוסח טיוטת הצו המוצע:</w:t>
        </w:r>
        <w:r w:rsidR="00DF52A6">
          <w:rPr>
            <w:webHidden/>
            <w:rtl/>
          </w:rPr>
          <w:tab/>
        </w:r>
        <w:r w:rsidR="00DF52A6">
          <w:rPr>
            <w:webHidden/>
            <w:rtl/>
          </w:rPr>
          <w:fldChar w:fldCharType="begin"/>
        </w:r>
        <w:r w:rsidR="00DF52A6">
          <w:rPr>
            <w:webHidden/>
            <w:rtl/>
          </w:rPr>
          <w:instrText xml:space="preserve"> </w:instrText>
        </w:r>
        <w:r w:rsidR="00DF52A6">
          <w:rPr>
            <w:webHidden/>
          </w:rPr>
          <w:instrText>PAGEREF</w:instrText>
        </w:r>
        <w:r w:rsidR="00DF52A6">
          <w:rPr>
            <w:webHidden/>
            <w:rtl/>
          </w:rPr>
          <w:instrText xml:space="preserve"> _</w:instrText>
        </w:r>
        <w:r w:rsidR="00DF52A6">
          <w:rPr>
            <w:webHidden/>
          </w:rPr>
          <w:instrText>Toc161308672 \h</w:instrText>
        </w:r>
        <w:r w:rsidR="00DF52A6">
          <w:rPr>
            <w:webHidden/>
            <w:rtl/>
          </w:rPr>
          <w:instrText xml:space="preserve"> </w:instrText>
        </w:r>
        <w:r w:rsidR="00DF52A6">
          <w:rPr>
            <w:webHidden/>
            <w:rtl/>
          </w:rPr>
        </w:r>
        <w:r w:rsidR="00DF52A6">
          <w:rPr>
            <w:webHidden/>
            <w:rtl/>
          </w:rPr>
          <w:fldChar w:fldCharType="separate"/>
        </w:r>
        <w:r w:rsidR="00DF52A6">
          <w:rPr>
            <w:webHidden/>
            <w:rtl/>
          </w:rPr>
          <w:t>2</w:t>
        </w:r>
        <w:r w:rsidR="00DF52A6">
          <w:rPr>
            <w:webHidden/>
            <w:rtl/>
          </w:rPr>
          <w:fldChar w:fldCharType="end"/>
        </w:r>
      </w:hyperlink>
    </w:p>
    <w:p w14:paraId="27046E3A" w14:textId="275487DD" w:rsidR="00DF52A6" w:rsidRDefault="00CB5EC7" w:rsidP="00DF52A6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161308673" w:history="1">
        <w:r w:rsidR="00DF52A6" w:rsidRPr="000C1025">
          <w:rPr>
            <w:rStyle w:val="Hyperlink"/>
            <w:noProof/>
            <w:rtl/>
          </w:rPr>
          <w:t>טיוטת צו התקשורת (בזק ושידורים) (פטור מאישור סוג לציוד קצה)(תיקון), התשפ"ד-2024</w:t>
        </w:r>
        <w:r w:rsidR="00DF52A6">
          <w:rPr>
            <w:noProof/>
            <w:webHidden/>
            <w:rtl/>
          </w:rPr>
          <w:tab/>
        </w:r>
        <w:r w:rsidR="00DF52A6">
          <w:rPr>
            <w:noProof/>
            <w:webHidden/>
            <w:rtl/>
          </w:rPr>
          <w:fldChar w:fldCharType="begin"/>
        </w:r>
        <w:r w:rsidR="00DF52A6">
          <w:rPr>
            <w:noProof/>
            <w:webHidden/>
            <w:rtl/>
          </w:rPr>
          <w:instrText xml:space="preserve"> </w:instrText>
        </w:r>
        <w:r w:rsidR="00DF52A6">
          <w:rPr>
            <w:noProof/>
            <w:webHidden/>
          </w:rPr>
          <w:instrText>PAGEREF</w:instrText>
        </w:r>
        <w:r w:rsidR="00DF52A6">
          <w:rPr>
            <w:noProof/>
            <w:webHidden/>
            <w:rtl/>
          </w:rPr>
          <w:instrText xml:space="preserve"> _</w:instrText>
        </w:r>
        <w:r w:rsidR="00DF52A6">
          <w:rPr>
            <w:noProof/>
            <w:webHidden/>
          </w:rPr>
          <w:instrText>Toc161308673 \h</w:instrText>
        </w:r>
        <w:r w:rsidR="00DF52A6">
          <w:rPr>
            <w:noProof/>
            <w:webHidden/>
            <w:rtl/>
          </w:rPr>
          <w:instrText xml:space="preserve"> </w:instrText>
        </w:r>
        <w:r w:rsidR="00DF52A6">
          <w:rPr>
            <w:noProof/>
            <w:webHidden/>
            <w:rtl/>
          </w:rPr>
        </w:r>
        <w:r w:rsidR="00DF52A6">
          <w:rPr>
            <w:noProof/>
            <w:webHidden/>
            <w:rtl/>
          </w:rPr>
          <w:fldChar w:fldCharType="separate"/>
        </w:r>
        <w:r w:rsidR="00DF52A6">
          <w:rPr>
            <w:noProof/>
            <w:webHidden/>
            <w:rtl/>
          </w:rPr>
          <w:t>3</w:t>
        </w:r>
        <w:r w:rsidR="00DF52A6">
          <w:rPr>
            <w:noProof/>
            <w:webHidden/>
            <w:rtl/>
          </w:rPr>
          <w:fldChar w:fldCharType="end"/>
        </w:r>
      </w:hyperlink>
    </w:p>
    <w:p w14:paraId="7005790A" w14:textId="227B7E37" w:rsidR="00DF52A6" w:rsidRDefault="00CB5EC7" w:rsidP="00DF52A6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61308674" w:history="1">
        <w:r w:rsidR="00DF52A6" w:rsidRPr="000C1025">
          <w:rPr>
            <w:rStyle w:val="Hyperlink"/>
            <w:noProof/>
            <w:rtl/>
          </w:rPr>
          <w:t>תיקון סעיף 1</w:t>
        </w:r>
        <w:r w:rsidR="00DF52A6">
          <w:rPr>
            <w:noProof/>
            <w:webHidden/>
            <w:rtl/>
          </w:rPr>
          <w:tab/>
        </w:r>
        <w:r w:rsidR="00DF52A6">
          <w:rPr>
            <w:noProof/>
            <w:webHidden/>
            <w:rtl/>
          </w:rPr>
          <w:fldChar w:fldCharType="begin"/>
        </w:r>
        <w:r w:rsidR="00DF52A6">
          <w:rPr>
            <w:noProof/>
            <w:webHidden/>
            <w:rtl/>
          </w:rPr>
          <w:instrText xml:space="preserve"> </w:instrText>
        </w:r>
        <w:r w:rsidR="00DF52A6">
          <w:rPr>
            <w:noProof/>
            <w:webHidden/>
          </w:rPr>
          <w:instrText>PAGEREF</w:instrText>
        </w:r>
        <w:r w:rsidR="00DF52A6">
          <w:rPr>
            <w:noProof/>
            <w:webHidden/>
            <w:rtl/>
          </w:rPr>
          <w:instrText xml:space="preserve"> _</w:instrText>
        </w:r>
        <w:r w:rsidR="00DF52A6">
          <w:rPr>
            <w:noProof/>
            <w:webHidden/>
          </w:rPr>
          <w:instrText>Toc161308674 \h</w:instrText>
        </w:r>
        <w:r w:rsidR="00DF52A6">
          <w:rPr>
            <w:noProof/>
            <w:webHidden/>
            <w:rtl/>
          </w:rPr>
          <w:instrText xml:space="preserve"> </w:instrText>
        </w:r>
        <w:r w:rsidR="00DF52A6">
          <w:rPr>
            <w:noProof/>
            <w:webHidden/>
            <w:rtl/>
          </w:rPr>
        </w:r>
        <w:r w:rsidR="00DF52A6">
          <w:rPr>
            <w:noProof/>
            <w:webHidden/>
            <w:rtl/>
          </w:rPr>
          <w:fldChar w:fldCharType="separate"/>
        </w:r>
        <w:r w:rsidR="00DF52A6">
          <w:rPr>
            <w:noProof/>
            <w:webHidden/>
            <w:rtl/>
          </w:rPr>
          <w:t>3</w:t>
        </w:r>
        <w:r w:rsidR="00DF52A6">
          <w:rPr>
            <w:noProof/>
            <w:webHidden/>
            <w:rtl/>
          </w:rPr>
          <w:fldChar w:fldCharType="end"/>
        </w:r>
      </w:hyperlink>
    </w:p>
    <w:p w14:paraId="1D0169E6" w14:textId="4BCC093F" w:rsidR="00DF52A6" w:rsidRDefault="00CB5EC7" w:rsidP="00DF52A6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61308675" w:history="1">
        <w:r w:rsidR="00DF52A6" w:rsidRPr="000C1025">
          <w:rPr>
            <w:rStyle w:val="Hyperlink"/>
            <w:noProof/>
            <w:rtl/>
          </w:rPr>
          <w:t>תיקון סעיף 2</w:t>
        </w:r>
        <w:r w:rsidR="00DF52A6">
          <w:rPr>
            <w:noProof/>
            <w:webHidden/>
            <w:rtl/>
          </w:rPr>
          <w:tab/>
        </w:r>
        <w:r w:rsidR="00DF52A6">
          <w:rPr>
            <w:noProof/>
            <w:webHidden/>
            <w:rtl/>
          </w:rPr>
          <w:fldChar w:fldCharType="begin"/>
        </w:r>
        <w:r w:rsidR="00DF52A6">
          <w:rPr>
            <w:noProof/>
            <w:webHidden/>
            <w:rtl/>
          </w:rPr>
          <w:instrText xml:space="preserve"> </w:instrText>
        </w:r>
        <w:r w:rsidR="00DF52A6">
          <w:rPr>
            <w:noProof/>
            <w:webHidden/>
          </w:rPr>
          <w:instrText>PAGEREF</w:instrText>
        </w:r>
        <w:r w:rsidR="00DF52A6">
          <w:rPr>
            <w:noProof/>
            <w:webHidden/>
            <w:rtl/>
          </w:rPr>
          <w:instrText xml:space="preserve"> _</w:instrText>
        </w:r>
        <w:r w:rsidR="00DF52A6">
          <w:rPr>
            <w:noProof/>
            <w:webHidden/>
          </w:rPr>
          <w:instrText>Toc161308675 \h</w:instrText>
        </w:r>
        <w:r w:rsidR="00DF52A6">
          <w:rPr>
            <w:noProof/>
            <w:webHidden/>
            <w:rtl/>
          </w:rPr>
          <w:instrText xml:space="preserve"> </w:instrText>
        </w:r>
        <w:r w:rsidR="00DF52A6">
          <w:rPr>
            <w:noProof/>
            <w:webHidden/>
            <w:rtl/>
          </w:rPr>
        </w:r>
        <w:r w:rsidR="00DF52A6">
          <w:rPr>
            <w:noProof/>
            <w:webHidden/>
            <w:rtl/>
          </w:rPr>
          <w:fldChar w:fldCharType="separate"/>
        </w:r>
        <w:r w:rsidR="00DF52A6">
          <w:rPr>
            <w:noProof/>
            <w:webHidden/>
            <w:rtl/>
          </w:rPr>
          <w:t>3</w:t>
        </w:r>
        <w:r w:rsidR="00DF52A6">
          <w:rPr>
            <w:noProof/>
            <w:webHidden/>
            <w:rtl/>
          </w:rPr>
          <w:fldChar w:fldCharType="end"/>
        </w:r>
      </w:hyperlink>
    </w:p>
    <w:p w14:paraId="5A485A5F" w14:textId="1F44D8FB" w:rsidR="00DF52A6" w:rsidRDefault="00CB5EC7" w:rsidP="00DF52A6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61308676" w:history="1">
        <w:r w:rsidR="00DF52A6" w:rsidRPr="000C1025">
          <w:rPr>
            <w:rStyle w:val="Hyperlink"/>
            <w:noProof/>
            <w:rtl/>
          </w:rPr>
          <w:t>תיקון התוספת</w:t>
        </w:r>
        <w:r w:rsidR="00DF52A6">
          <w:rPr>
            <w:noProof/>
            <w:webHidden/>
            <w:rtl/>
          </w:rPr>
          <w:tab/>
        </w:r>
        <w:r w:rsidR="00DF52A6">
          <w:rPr>
            <w:noProof/>
            <w:webHidden/>
            <w:rtl/>
          </w:rPr>
          <w:fldChar w:fldCharType="begin"/>
        </w:r>
        <w:r w:rsidR="00DF52A6">
          <w:rPr>
            <w:noProof/>
            <w:webHidden/>
            <w:rtl/>
          </w:rPr>
          <w:instrText xml:space="preserve"> </w:instrText>
        </w:r>
        <w:r w:rsidR="00DF52A6">
          <w:rPr>
            <w:noProof/>
            <w:webHidden/>
          </w:rPr>
          <w:instrText>PAGEREF</w:instrText>
        </w:r>
        <w:r w:rsidR="00DF52A6">
          <w:rPr>
            <w:noProof/>
            <w:webHidden/>
            <w:rtl/>
          </w:rPr>
          <w:instrText xml:space="preserve"> _</w:instrText>
        </w:r>
        <w:r w:rsidR="00DF52A6">
          <w:rPr>
            <w:noProof/>
            <w:webHidden/>
          </w:rPr>
          <w:instrText>Toc161308676 \h</w:instrText>
        </w:r>
        <w:r w:rsidR="00DF52A6">
          <w:rPr>
            <w:noProof/>
            <w:webHidden/>
            <w:rtl/>
          </w:rPr>
          <w:instrText xml:space="preserve"> </w:instrText>
        </w:r>
        <w:r w:rsidR="00DF52A6">
          <w:rPr>
            <w:noProof/>
            <w:webHidden/>
            <w:rtl/>
          </w:rPr>
        </w:r>
        <w:r w:rsidR="00DF52A6">
          <w:rPr>
            <w:noProof/>
            <w:webHidden/>
            <w:rtl/>
          </w:rPr>
          <w:fldChar w:fldCharType="separate"/>
        </w:r>
        <w:r w:rsidR="00DF52A6">
          <w:rPr>
            <w:noProof/>
            <w:webHidden/>
            <w:rtl/>
          </w:rPr>
          <w:t>3</w:t>
        </w:r>
        <w:r w:rsidR="00DF52A6">
          <w:rPr>
            <w:noProof/>
            <w:webHidden/>
            <w:rtl/>
          </w:rPr>
          <w:fldChar w:fldCharType="end"/>
        </w:r>
      </w:hyperlink>
    </w:p>
    <w:p w14:paraId="24BFC2BC" w14:textId="0BE98E1F" w:rsidR="00DF52A6" w:rsidRDefault="00CB5EC7" w:rsidP="00DF52A6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61308677" w:history="1">
        <w:r w:rsidR="00DF52A6" w:rsidRPr="000C1025">
          <w:rPr>
            <w:rStyle w:val="Hyperlink"/>
            <w:noProof/>
            <w:rtl/>
          </w:rPr>
          <w:t>בחינה תקופתית</w:t>
        </w:r>
        <w:r w:rsidR="00DF52A6">
          <w:rPr>
            <w:noProof/>
            <w:webHidden/>
            <w:rtl/>
          </w:rPr>
          <w:tab/>
        </w:r>
        <w:r w:rsidR="00DF52A6">
          <w:rPr>
            <w:noProof/>
            <w:webHidden/>
            <w:rtl/>
          </w:rPr>
          <w:fldChar w:fldCharType="begin"/>
        </w:r>
        <w:r w:rsidR="00DF52A6">
          <w:rPr>
            <w:noProof/>
            <w:webHidden/>
            <w:rtl/>
          </w:rPr>
          <w:instrText xml:space="preserve"> </w:instrText>
        </w:r>
        <w:r w:rsidR="00DF52A6">
          <w:rPr>
            <w:noProof/>
            <w:webHidden/>
          </w:rPr>
          <w:instrText>PAGEREF</w:instrText>
        </w:r>
        <w:r w:rsidR="00DF52A6">
          <w:rPr>
            <w:noProof/>
            <w:webHidden/>
            <w:rtl/>
          </w:rPr>
          <w:instrText xml:space="preserve"> _</w:instrText>
        </w:r>
        <w:r w:rsidR="00DF52A6">
          <w:rPr>
            <w:noProof/>
            <w:webHidden/>
          </w:rPr>
          <w:instrText>Toc161308677 \h</w:instrText>
        </w:r>
        <w:r w:rsidR="00DF52A6">
          <w:rPr>
            <w:noProof/>
            <w:webHidden/>
            <w:rtl/>
          </w:rPr>
          <w:instrText xml:space="preserve"> </w:instrText>
        </w:r>
        <w:r w:rsidR="00DF52A6">
          <w:rPr>
            <w:noProof/>
            <w:webHidden/>
            <w:rtl/>
          </w:rPr>
        </w:r>
        <w:r w:rsidR="00DF52A6">
          <w:rPr>
            <w:noProof/>
            <w:webHidden/>
            <w:rtl/>
          </w:rPr>
          <w:fldChar w:fldCharType="separate"/>
        </w:r>
        <w:r w:rsidR="00DF52A6">
          <w:rPr>
            <w:noProof/>
            <w:webHidden/>
            <w:rtl/>
          </w:rPr>
          <w:t>3</w:t>
        </w:r>
        <w:r w:rsidR="00DF52A6">
          <w:rPr>
            <w:noProof/>
            <w:webHidden/>
            <w:rtl/>
          </w:rPr>
          <w:fldChar w:fldCharType="end"/>
        </w:r>
      </w:hyperlink>
    </w:p>
    <w:p w14:paraId="6B9E6010" w14:textId="1E282198" w:rsidR="00DF52A6" w:rsidRDefault="00CB5EC7" w:rsidP="00DF52A6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61308678" w:history="1">
        <w:r w:rsidR="00DF52A6" w:rsidRPr="000C1025">
          <w:rPr>
            <w:rStyle w:val="Hyperlink"/>
            <w:noProof/>
            <w:rtl/>
          </w:rPr>
          <w:t>דברי הסבר</w:t>
        </w:r>
        <w:r w:rsidR="00DF52A6">
          <w:rPr>
            <w:noProof/>
            <w:webHidden/>
            <w:rtl/>
          </w:rPr>
          <w:tab/>
        </w:r>
        <w:r w:rsidR="00DF52A6">
          <w:rPr>
            <w:noProof/>
            <w:webHidden/>
            <w:rtl/>
          </w:rPr>
          <w:fldChar w:fldCharType="begin"/>
        </w:r>
        <w:r w:rsidR="00DF52A6">
          <w:rPr>
            <w:noProof/>
            <w:webHidden/>
            <w:rtl/>
          </w:rPr>
          <w:instrText xml:space="preserve"> </w:instrText>
        </w:r>
        <w:r w:rsidR="00DF52A6">
          <w:rPr>
            <w:noProof/>
            <w:webHidden/>
          </w:rPr>
          <w:instrText>PAGEREF</w:instrText>
        </w:r>
        <w:r w:rsidR="00DF52A6">
          <w:rPr>
            <w:noProof/>
            <w:webHidden/>
            <w:rtl/>
          </w:rPr>
          <w:instrText xml:space="preserve"> _</w:instrText>
        </w:r>
        <w:r w:rsidR="00DF52A6">
          <w:rPr>
            <w:noProof/>
            <w:webHidden/>
          </w:rPr>
          <w:instrText>Toc161308678 \h</w:instrText>
        </w:r>
        <w:r w:rsidR="00DF52A6">
          <w:rPr>
            <w:noProof/>
            <w:webHidden/>
            <w:rtl/>
          </w:rPr>
          <w:instrText xml:space="preserve"> </w:instrText>
        </w:r>
        <w:r w:rsidR="00DF52A6">
          <w:rPr>
            <w:noProof/>
            <w:webHidden/>
            <w:rtl/>
          </w:rPr>
        </w:r>
        <w:r w:rsidR="00DF52A6">
          <w:rPr>
            <w:noProof/>
            <w:webHidden/>
            <w:rtl/>
          </w:rPr>
          <w:fldChar w:fldCharType="separate"/>
        </w:r>
        <w:r w:rsidR="00DF52A6">
          <w:rPr>
            <w:noProof/>
            <w:webHidden/>
            <w:rtl/>
          </w:rPr>
          <w:t>4</w:t>
        </w:r>
        <w:r w:rsidR="00DF52A6">
          <w:rPr>
            <w:noProof/>
            <w:webHidden/>
            <w:rtl/>
          </w:rPr>
          <w:fldChar w:fldCharType="end"/>
        </w:r>
      </w:hyperlink>
    </w:p>
    <w:p w14:paraId="3E9CBB6D" w14:textId="17B9E47C" w:rsidR="00DF52A6" w:rsidRDefault="00DF52A6" w:rsidP="00DF52A6">
      <w:pPr>
        <w:rPr>
          <w:snapToGrid w:val="0"/>
          <w:rtl/>
        </w:rPr>
      </w:pPr>
      <w:r>
        <w:rPr>
          <w:rtl/>
        </w:rPr>
        <w:fldChar w:fldCharType="end"/>
      </w:r>
      <w:r>
        <w:rPr>
          <w:rtl/>
        </w:rPr>
        <w:br w:type="page"/>
      </w:r>
    </w:p>
    <w:p w14:paraId="7F1B7FB8" w14:textId="2432C70E" w:rsidR="002F5DE9" w:rsidRDefault="002F5DE9" w:rsidP="000A28F8">
      <w:pPr>
        <w:pStyle w:val="1"/>
        <w:keepNext w:val="0"/>
        <w:keepLines w:val="0"/>
      </w:pPr>
      <w:bookmarkStart w:id="0" w:name="_Toc161308652"/>
      <w:bookmarkStart w:id="1" w:name="_Toc161308669"/>
      <w:r>
        <w:rPr>
          <w:rtl/>
        </w:rPr>
        <w:lastRenderedPageBreak/>
        <w:t>טיוטת צו</w:t>
      </w:r>
      <w:r w:rsidR="000A28F8">
        <w:rPr>
          <w:rFonts w:hint="cs"/>
          <w:rtl/>
        </w:rPr>
        <w:t xml:space="preserve"> </w:t>
      </w:r>
      <w:r w:rsidR="000A28F8" w:rsidRPr="000A28F8">
        <w:rPr>
          <w:rtl/>
        </w:rPr>
        <w:t>התקשורת (בזק ושידורים) (פטור מאישור סוג לציוד קצה)</w:t>
      </w:r>
      <w:r w:rsidR="000A28F8">
        <w:rPr>
          <w:rFonts w:hint="cs"/>
          <w:rtl/>
        </w:rPr>
        <w:t>(תיקון)</w:t>
      </w:r>
      <w:r w:rsidR="000A28F8" w:rsidRPr="000A28F8">
        <w:rPr>
          <w:rtl/>
        </w:rPr>
        <w:t xml:space="preserve">, </w:t>
      </w:r>
      <w:r w:rsidR="000A28F8">
        <w:rPr>
          <w:rFonts w:hint="cs"/>
          <w:rtl/>
        </w:rPr>
        <w:t>ה</w:t>
      </w:r>
      <w:r w:rsidR="000A28F8" w:rsidRPr="000A28F8">
        <w:rPr>
          <w:rtl/>
        </w:rPr>
        <w:t>תש</w:t>
      </w:r>
      <w:r w:rsidR="000A28F8">
        <w:rPr>
          <w:rFonts w:hint="cs"/>
          <w:rtl/>
        </w:rPr>
        <w:t>פ</w:t>
      </w:r>
      <w:r w:rsidR="000A28F8">
        <w:rPr>
          <w:rtl/>
        </w:rPr>
        <w:t>"ד-</w:t>
      </w:r>
      <w:r w:rsidR="00CC423B">
        <w:rPr>
          <w:rtl/>
        </w:rPr>
        <w:t>2024</w:t>
      </w:r>
      <w:bookmarkEnd w:id="0"/>
      <w:bookmarkEnd w:id="1"/>
    </w:p>
    <w:p w14:paraId="5CFFBEF6" w14:textId="77777777" w:rsidR="002F5DE9" w:rsidRDefault="002F5DE9" w:rsidP="00307E94">
      <w:pPr>
        <w:rPr>
          <w:rtl/>
        </w:rPr>
      </w:pPr>
    </w:p>
    <w:p w14:paraId="5A4DCCCA" w14:textId="77777777" w:rsidR="002F5DE9" w:rsidRDefault="002F5DE9" w:rsidP="00F24A78">
      <w:pPr>
        <w:pStyle w:val="4"/>
        <w:rPr>
          <w:rtl/>
        </w:rPr>
      </w:pPr>
      <w:bookmarkStart w:id="2" w:name="_Toc161308670"/>
      <w:r>
        <w:rPr>
          <w:rFonts w:hint="cs"/>
          <w:rtl/>
        </w:rPr>
        <w:t>שם הצו המוצע</w:t>
      </w:r>
      <w:bookmarkEnd w:id="2"/>
    </w:p>
    <w:p w14:paraId="75B65106" w14:textId="4B0B35AF" w:rsidR="002F5DE9" w:rsidRDefault="000A28F8" w:rsidP="000A28F8">
      <w:r>
        <w:rPr>
          <w:rFonts w:hint="cs"/>
          <w:rtl/>
        </w:rPr>
        <w:t>צו</w:t>
      </w:r>
      <w:r w:rsidRPr="000A28F8">
        <w:rPr>
          <w:rtl/>
        </w:rPr>
        <w:t xml:space="preserve"> התקשורת (בזק ושידורים) (פטור מאישור סוג לציוד קצה)(תיקון), התשפ"ד-</w:t>
      </w:r>
      <w:r w:rsidR="00CC423B">
        <w:rPr>
          <w:rtl/>
        </w:rPr>
        <w:t>2024</w:t>
      </w:r>
    </w:p>
    <w:p w14:paraId="6E4F45BE" w14:textId="77777777" w:rsidR="002F5DE9" w:rsidRDefault="002F5DE9" w:rsidP="00307E94">
      <w:pPr>
        <w:rPr>
          <w:rtl/>
        </w:rPr>
      </w:pPr>
    </w:p>
    <w:p w14:paraId="72337FE2" w14:textId="77777777" w:rsidR="002F5DE9" w:rsidRDefault="002F5DE9" w:rsidP="00307E94">
      <w:pPr>
        <w:rPr>
          <w:rtl/>
        </w:rPr>
      </w:pPr>
    </w:p>
    <w:p w14:paraId="3CBDF6AA" w14:textId="77777777" w:rsidR="002F5DE9" w:rsidRDefault="000A28F8" w:rsidP="000A28F8">
      <w:pPr>
        <w:pStyle w:val="4"/>
        <w:rPr>
          <w:rtl/>
        </w:rPr>
      </w:pPr>
      <w:bookmarkStart w:id="3" w:name="_Toc161308671"/>
      <w:r>
        <w:rPr>
          <w:rFonts w:hint="cs"/>
          <w:rtl/>
        </w:rPr>
        <w:t>מטרת הצו המוצע והצורך בו</w:t>
      </w:r>
      <w:bookmarkEnd w:id="3"/>
    </w:p>
    <w:p w14:paraId="5EACB172" w14:textId="2DF9D465" w:rsidR="002F5DE9" w:rsidRDefault="004D02C4" w:rsidP="000928DC">
      <w:pPr>
        <w:rPr>
          <w:rtl/>
        </w:rPr>
      </w:pPr>
      <w:r>
        <w:rPr>
          <w:rFonts w:hint="cs"/>
          <w:rtl/>
        </w:rPr>
        <w:t xml:space="preserve">התיקונים המוצעים נועדו להתאים את הצו לאסדרה העדכנית בתחום, ובכלל כך להגדרה המתוקנת של "ציוד קצה" בחוק התקשורת (בזק ושידורים), התשמ"ב-1982, ולתנאים שבהם </w:t>
      </w:r>
      <w:r w:rsidR="00DF52A6">
        <w:rPr>
          <w:rFonts w:hint="cs"/>
          <w:rtl/>
        </w:rPr>
        <w:t>סוחר ב</w:t>
      </w:r>
      <w:r>
        <w:rPr>
          <w:rFonts w:hint="cs"/>
          <w:rtl/>
        </w:rPr>
        <w:t>ציוד קצה פטור מאישור סוג.</w:t>
      </w:r>
    </w:p>
    <w:p w14:paraId="22204C84" w14:textId="77777777" w:rsidR="002F5DE9" w:rsidRDefault="002F5DE9" w:rsidP="00307E94">
      <w:pPr>
        <w:rPr>
          <w:rtl/>
        </w:rPr>
      </w:pPr>
    </w:p>
    <w:p w14:paraId="4C241F39" w14:textId="77777777" w:rsidR="002F5DE9" w:rsidRDefault="002F5DE9" w:rsidP="00307E94">
      <w:pPr>
        <w:rPr>
          <w:rtl/>
        </w:rPr>
      </w:pPr>
    </w:p>
    <w:p w14:paraId="20CE9B2F" w14:textId="77777777" w:rsidR="002F5DE9" w:rsidRDefault="002F5DE9" w:rsidP="00F24A78">
      <w:pPr>
        <w:pStyle w:val="4"/>
        <w:rPr>
          <w:rtl/>
        </w:rPr>
      </w:pPr>
      <w:bookmarkStart w:id="4" w:name="_Toc161308672"/>
      <w:r>
        <w:rPr>
          <w:rFonts w:hint="cs"/>
          <w:rtl/>
        </w:rPr>
        <w:t>להלן נוסח טיוטת הצו המוצע:</w:t>
      </w:r>
      <w:bookmarkEnd w:id="4"/>
      <w:r>
        <w:rPr>
          <w:rFonts w:hint="cs"/>
          <w:rtl/>
        </w:rPr>
        <w:t xml:space="preserve"> </w:t>
      </w:r>
    </w:p>
    <w:p w14:paraId="31242CDF" w14:textId="77777777" w:rsidR="002F5DE9" w:rsidRDefault="002F5DE9" w:rsidP="00307E94">
      <w:pPr>
        <w:bidi w:val="0"/>
        <w:rPr>
          <w:rtl/>
        </w:rPr>
      </w:pPr>
      <w:r>
        <w:rPr>
          <w:rtl/>
        </w:rPr>
        <w:br w:type="page"/>
      </w:r>
    </w:p>
    <w:p w14:paraId="53DA35D6" w14:textId="77777777" w:rsidR="002F5DE9" w:rsidRDefault="002F5DE9" w:rsidP="000A28F8">
      <w:pPr>
        <w:pStyle w:val="HeadMitparsemetBaze"/>
        <w:keepNext w:val="0"/>
        <w:keepLines w:val="0"/>
        <w:pageBreakBefore w:val="0"/>
        <w:rPr>
          <w:rtl/>
        </w:rPr>
      </w:pPr>
      <w:r>
        <w:rPr>
          <w:rtl/>
        </w:rPr>
        <w:lastRenderedPageBreak/>
        <w:t>טיוטת צו מטעם משרד</w:t>
      </w:r>
      <w:r w:rsidR="000A28F8">
        <w:rPr>
          <w:rFonts w:hint="cs"/>
          <w:rtl/>
        </w:rPr>
        <w:t xml:space="preserve"> התקשורת</w:t>
      </w:r>
      <w:r>
        <w:rPr>
          <w:rtl/>
        </w:rPr>
        <w:t xml:space="preserve">: </w:t>
      </w:r>
    </w:p>
    <w:p w14:paraId="75502FE0" w14:textId="08174D00" w:rsidR="002F5DE9" w:rsidRDefault="002F5DE9" w:rsidP="00307E94">
      <w:pPr>
        <w:pStyle w:val="HeadHatzaotHok"/>
        <w:keepNext w:val="0"/>
        <w:keepLines w:val="0"/>
        <w:rPr>
          <w:rtl/>
        </w:rPr>
      </w:pPr>
      <w:bookmarkStart w:id="5" w:name="_Toc161308653"/>
      <w:bookmarkStart w:id="6" w:name="_Toc161308673"/>
      <w:r>
        <w:rPr>
          <w:rtl/>
        </w:rPr>
        <w:t xml:space="preserve">טיוטת </w:t>
      </w:r>
      <w:r w:rsidR="000A28F8" w:rsidRPr="000A28F8">
        <w:rPr>
          <w:rtl/>
        </w:rPr>
        <w:t>צו התקשורת (בזק ושידורים) (פטור מאישור סוג לציוד קצה)(תיקון), התשפ"ד-</w:t>
      </w:r>
      <w:r w:rsidR="00CC423B">
        <w:rPr>
          <w:rtl/>
        </w:rPr>
        <w:t>2024</w:t>
      </w:r>
      <w:bookmarkEnd w:id="5"/>
      <w:bookmarkEnd w:id="6"/>
    </w:p>
    <w:tbl>
      <w:tblPr>
        <w:bidiVisual/>
        <w:tblW w:w="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24"/>
        <w:gridCol w:w="5898"/>
      </w:tblGrid>
      <w:tr w:rsidR="002F5DE9" w14:paraId="7E0A7F5B" w14:textId="77777777" w:rsidTr="00307E94">
        <w:trPr>
          <w:cantSplit/>
          <w:trHeight w:val="60"/>
        </w:trPr>
        <w:tc>
          <w:tcPr>
            <w:tcW w:w="1871" w:type="dxa"/>
          </w:tcPr>
          <w:p w14:paraId="20499C1D" w14:textId="77777777" w:rsidR="002F5DE9" w:rsidRDefault="002F5DE9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42F6C234" w14:textId="77777777" w:rsidR="002F5DE9" w:rsidRDefault="002F5DE9">
            <w:pPr>
              <w:pStyle w:val="TableText"/>
            </w:pPr>
          </w:p>
        </w:tc>
        <w:tc>
          <w:tcPr>
            <w:tcW w:w="7146" w:type="dxa"/>
            <w:gridSpan w:val="3"/>
            <w:hideMark/>
          </w:tcPr>
          <w:p w14:paraId="0F850B2D" w14:textId="449B5CA3" w:rsidR="002F5DE9" w:rsidRDefault="002F5DE9" w:rsidP="007C42E0">
            <w:pPr>
              <w:pStyle w:val="TableBlock"/>
            </w:pPr>
            <w:r>
              <w:rPr>
                <w:rtl/>
              </w:rPr>
              <w:t xml:space="preserve">בתוקף </w:t>
            </w:r>
            <w:r w:rsidR="005E7285">
              <w:rPr>
                <w:rtl/>
              </w:rPr>
              <w:t>סמכותי לפי סעיפים 4א(ד3)</w:t>
            </w:r>
            <w:r w:rsidR="005E7285">
              <w:rPr>
                <w:rFonts w:hint="cs"/>
                <w:rtl/>
              </w:rPr>
              <w:t xml:space="preserve"> ו-</w:t>
            </w:r>
            <w:r w:rsidR="00353A42" w:rsidRPr="00353A42">
              <w:rPr>
                <w:rtl/>
              </w:rPr>
              <w:t>53א(א)(</w:t>
            </w:r>
            <w:r w:rsidR="005E7285">
              <w:rPr>
                <w:rFonts w:hint="cs"/>
                <w:rtl/>
              </w:rPr>
              <w:t>1</w:t>
            </w:r>
            <w:r w:rsidR="005E7285">
              <w:rPr>
                <w:rtl/>
              </w:rPr>
              <w:t xml:space="preserve">) </w:t>
            </w:r>
            <w:r w:rsidR="00353A42" w:rsidRPr="00353A42">
              <w:rPr>
                <w:rtl/>
              </w:rPr>
              <w:t>לחוק התקשורת (בזק ושידור</w:t>
            </w:r>
            <w:r w:rsidR="005E7285">
              <w:rPr>
                <w:rtl/>
              </w:rPr>
              <w:t>ים), התשמ"ב-1982</w:t>
            </w:r>
            <w:r w:rsidR="005E7285">
              <w:rPr>
                <w:rStyle w:val="a7"/>
                <w:rtl/>
              </w:rPr>
              <w:footnoteReference w:id="1"/>
            </w:r>
            <w:r w:rsidR="0081544E">
              <w:rPr>
                <w:rFonts w:hint="cs"/>
                <w:rtl/>
              </w:rPr>
              <w:t xml:space="preserve"> </w:t>
            </w:r>
            <w:r w:rsidR="007C42E0">
              <w:rPr>
                <w:rFonts w:hint="cs"/>
                <w:rtl/>
              </w:rPr>
              <w:t xml:space="preserve">ולעניין סעיף 2 </w:t>
            </w:r>
            <w:r w:rsidR="007C42E0">
              <w:rPr>
                <w:rtl/>
              </w:rPr>
              <w:t>–</w:t>
            </w:r>
            <w:r w:rsidR="007C42E0">
              <w:rPr>
                <w:rFonts w:hint="cs"/>
                <w:rtl/>
              </w:rPr>
              <w:t xml:space="preserve"> בתוקף סמכותי לפי </w:t>
            </w:r>
            <w:r w:rsidR="0081544E">
              <w:rPr>
                <w:rFonts w:hint="cs"/>
                <w:rtl/>
              </w:rPr>
              <w:t>סעיף 24 לחוק עקרונות האסדרה, התשפ"ב-2021</w:t>
            </w:r>
            <w:r w:rsidR="0081544E">
              <w:rPr>
                <w:rStyle w:val="a7"/>
                <w:rtl/>
              </w:rPr>
              <w:footnoteReference w:id="2"/>
            </w:r>
            <w:r w:rsidR="00353A42" w:rsidRPr="00353A42">
              <w:rPr>
                <w:rtl/>
              </w:rPr>
              <w:t>, אני מצווה לאמור:</w:t>
            </w:r>
          </w:p>
        </w:tc>
      </w:tr>
      <w:tr w:rsidR="002F5DE9" w14:paraId="0C05656B" w14:textId="77777777" w:rsidTr="00307E94">
        <w:trPr>
          <w:cantSplit/>
          <w:trHeight w:val="60"/>
        </w:trPr>
        <w:tc>
          <w:tcPr>
            <w:tcW w:w="1871" w:type="dxa"/>
          </w:tcPr>
          <w:p w14:paraId="73C4C73B" w14:textId="77777777" w:rsidR="002F5DE9" w:rsidRDefault="002F5DE9">
            <w:pPr>
              <w:pStyle w:val="TableSideHeading"/>
            </w:pPr>
          </w:p>
        </w:tc>
        <w:tc>
          <w:tcPr>
            <w:tcW w:w="624" w:type="dxa"/>
          </w:tcPr>
          <w:p w14:paraId="5F1C2854" w14:textId="77777777" w:rsidR="002F5DE9" w:rsidRDefault="002F5DE9">
            <w:pPr>
              <w:pStyle w:val="TableText"/>
            </w:pPr>
          </w:p>
        </w:tc>
        <w:tc>
          <w:tcPr>
            <w:tcW w:w="7146" w:type="dxa"/>
            <w:gridSpan w:val="3"/>
          </w:tcPr>
          <w:p w14:paraId="56440F22" w14:textId="77777777" w:rsidR="002F5DE9" w:rsidRDefault="002F5DE9">
            <w:pPr>
              <w:pStyle w:val="TableHead"/>
            </w:pPr>
          </w:p>
        </w:tc>
      </w:tr>
      <w:tr w:rsidR="002F5DE9" w14:paraId="06F528D0" w14:textId="77777777" w:rsidTr="00307E94">
        <w:trPr>
          <w:cantSplit/>
          <w:trHeight w:val="60"/>
        </w:trPr>
        <w:tc>
          <w:tcPr>
            <w:tcW w:w="1871" w:type="dxa"/>
          </w:tcPr>
          <w:p w14:paraId="46107A16" w14:textId="77777777" w:rsidR="002F5DE9" w:rsidRDefault="005E7285">
            <w:pPr>
              <w:pStyle w:val="TableSideHeading"/>
            </w:pPr>
            <w:bookmarkStart w:id="7" w:name="_Toc161308654"/>
            <w:bookmarkStart w:id="8" w:name="_Toc161308674"/>
            <w:r>
              <w:rPr>
                <w:rFonts w:hint="cs"/>
                <w:rtl/>
              </w:rPr>
              <w:t>תיקון סעיף 1</w:t>
            </w:r>
            <w:bookmarkEnd w:id="7"/>
            <w:bookmarkEnd w:id="8"/>
          </w:p>
        </w:tc>
        <w:tc>
          <w:tcPr>
            <w:tcW w:w="624" w:type="dxa"/>
          </w:tcPr>
          <w:p w14:paraId="01286B06" w14:textId="77777777" w:rsidR="002F5DE9" w:rsidRDefault="002F5DE9" w:rsidP="002F5DE9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  <w:gridSpan w:val="3"/>
          </w:tcPr>
          <w:p w14:paraId="069E6E2B" w14:textId="4063A12C" w:rsidR="002F5DE9" w:rsidRDefault="005E7285" w:rsidP="00CC423B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בצו </w:t>
            </w:r>
            <w:r w:rsidRPr="000A28F8">
              <w:rPr>
                <w:rtl/>
              </w:rPr>
              <w:t>התקשורת (בזק ושידורים) (פטור מאישור סוג לציוד קצה), התש</w:t>
            </w:r>
            <w:r>
              <w:rPr>
                <w:rFonts w:hint="cs"/>
                <w:rtl/>
              </w:rPr>
              <w:t>ע</w:t>
            </w:r>
            <w:r>
              <w:rPr>
                <w:rtl/>
              </w:rPr>
              <w:t>"ד-20</w:t>
            </w:r>
            <w:r>
              <w:rPr>
                <w:rFonts w:hint="cs"/>
                <w:rtl/>
              </w:rPr>
              <w:t>14</w:t>
            </w:r>
            <w:r>
              <w:rPr>
                <w:rStyle w:val="a7"/>
                <w:rtl/>
              </w:rPr>
              <w:footnoteReference w:id="3"/>
            </w:r>
            <w:r>
              <w:rPr>
                <w:rFonts w:hint="cs"/>
                <w:rtl/>
              </w:rPr>
              <w:t xml:space="preserve"> (להלן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הצו העיקרי), בסעיף 1, ההגדר</w:t>
            </w:r>
            <w:r w:rsidR="00CC423B">
              <w:rPr>
                <w:rFonts w:hint="cs"/>
                <w:rtl/>
              </w:rPr>
              <w:t xml:space="preserve">ה </w:t>
            </w:r>
            <w:r>
              <w:rPr>
                <w:rFonts w:hint="cs"/>
                <w:rtl/>
              </w:rPr>
              <w:t xml:space="preserve">"סחר"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CC423B">
              <w:rPr>
                <w:rFonts w:hint="cs"/>
                <w:rtl/>
              </w:rPr>
              <w:t>ת</w:t>
            </w:r>
            <w:r>
              <w:rPr>
                <w:rFonts w:hint="cs"/>
                <w:rtl/>
              </w:rPr>
              <w:t>מחק.</w:t>
            </w:r>
          </w:p>
        </w:tc>
      </w:tr>
      <w:tr w:rsidR="005E7285" w14:paraId="49E22A62" w14:textId="77777777">
        <w:trPr>
          <w:cantSplit/>
          <w:trHeight w:val="60"/>
        </w:trPr>
        <w:tc>
          <w:tcPr>
            <w:tcW w:w="1871" w:type="dxa"/>
          </w:tcPr>
          <w:p w14:paraId="062B7397" w14:textId="77777777" w:rsidR="005E7285" w:rsidRDefault="005E7285" w:rsidP="007E751D">
            <w:pPr>
              <w:pStyle w:val="TableSideHeading"/>
              <w:keepLines w:val="0"/>
            </w:pPr>
            <w:bookmarkStart w:id="9" w:name="_Toc161308655"/>
            <w:bookmarkStart w:id="10" w:name="_Toc161308675"/>
            <w:r>
              <w:rPr>
                <w:rFonts w:hint="cs"/>
                <w:rtl/>
              </w:rPr>
              <w:t>תיקון סעיף 2</w:t>
            </w:r>
            <w:bookmarkEnd w:id="9"/>
            <w:bookmarkEnd w:id="10"/>
          </w:p>
        </w:tc>
        <w:tc>
          <w:tcPr>
            <w:tcW w:w="624" w:type="dxa"/>
          </w:tcPr>
          <w:p w14:paraId="4BFE08A8" w14:textId="77777777" w:rsidR="005E7285" w:rsidRDefault="005E7285" w:rsidP="005E7285">
            <w:pPr>
              <w:pStyle w:val="TableText"/>
              <w:keepLines w:val="0"/>
              <w:numPr>
                <w:ilvl w:val="0"/>
                <w:numId w:val="4"/>
              </w:numPr>
            </w:pPr>
          </w:p>
        </w:tc>
        <w:tc>
          <w:tcPr>
            <w:tcW w:w="7146" w:type="dxa"/>
            <w:gridSpan w:val="3"/>
          </w:tcPr>
          <w:p w14:paraId="6B9EE5C8" w14:textId="77777777" w:rsidR="005E7285" w:rsidRPr="00C34DE2" w:rsidRDefault="005E7285" w:rsidP="007E751D">
            <w:pPr>
              <w:pStyle w:val="TableBlock"/>
              <w:keepLines w:val="0"/>
            </w:pPr>
            <w:r>
              <w:rPr>
                <w:rFonts w:hint="cs"/>
                <w:rtl/>
              </w:rPr>
              <w:t xml:space="preserve">בצו העיקרי, בסעיף 2 - </w:t>
            </w:r>
          </w:p>
        </w:tc>
      </w:tr>
      <w:tr w:rsidR="005E7285" w14:paraId="320FC8C3" w14:textId="77777777">
        <w:trPr>
          <w:cantSplit/>
          <w:trHeight w:val="60"/>
        </w:trPr>
        <w:tc>
          <w:tcPr>
            <w:tcW w:w="1871" w:type="dxa"/>
          </w:tcPr>
          <w:p w14:paraId="0480CDD8" w14:textId="77777777" w:rsidR="005E7285" w:rsidRDefault="005E7285">
            <w:pPr>
              <w:pStyle w:val="TableSideHeading"/>
            </w:pPr>
          </w:p>
        </w:tc>
        <w:tc>
          <w:tcPr>
            <w:tcW w:w="624" w:type="dxa"/>
          </w:tcPr>
          <w:p w14:paraId="5C657B95" w14:textId="77777777" w:rsidR="005E7285" w:rsidRDefault="005E7285">
            <w:pPr>
              <w:pStyle w:val="TableText"/>
            </w:pPr>
          </w:p>
        </w:tc>
        <w:tc>
          <w:tcPr>
            <w:tcW w:w="624" w:type="dxa"/>
          </w:tcPr>
          <w:p w14:paraId="3C42F219" w14:textId="77777777" w:rsidR="005E7285" w:rsidRDefault="005E7285" w:rsidP="005E7285">
            <w:pPr>
              <w:pStyle w:val="TableText"/>
              <w:numPr>
                <w:ilvl w:val="0"/>
                <w:numId w:val="21"/>
              </w:numPr>
              <w:tabs>
                <w:tab w:val="left" w:pos="624"/>
              </w:tabs>
              <w:jc w:val="both"/>
            </w:pPr>
          </w:p>
        </w:tc>
        <w:tc>
          <w:tcPr>
            <w:tcW w:w="6522" w:type="dxa"/>
            <w:gridSpan w:val="2"/>
          </w:tcPr>
          <w:p w14:paraId="6F4E834B" w14:textId="77777777" w:rsidR="005E7285" w:rsidRDefault="005E7285" w:rsidP="005E7285">
            <w:pPr>
              <w:pStyle w:val="TableBlock"/>
            </w:pPr>
            <w:r>
              <w:rPr>
                <w:rFonts w:hint="cs"/>
                <w:rtl/>
              </w:rPr>
              <w:t>בסעיף קטן (א)(2) במקום "בעל רישיון כללי" יבוא "ספק מורשה";</w:t>
            </w:r>
          </w:p>
        </w:tc>
      </w:tr>
      <w:tr w:rsidR="005E7285" w14:paraId="5782296F" w14:textId="77777777">
        <w:trPr>
          <w:cantSplit/>
          <w:trHeight w:val="60"/>
        </w:trPr>
        <w:tc>
          <w:tcPr>
            <w:tcW w:w="1871" w:type="dxa"/>
          </w:tcPr>
          <w:p w14:paraId="2295A5B3" w14:textId="77777777" w:rsidR="005E7285" w:rsidRDefault="005E7285">
            <w:pPr>
              <w:pStyle w:val="TableSideHeading"/>
            </w:pPr>
          </w:p>
        </w:tc>
        <w:tc>
          <w:tcPr>
            <w:tcW w:w="624" w:type="dxa"/>
          </w:tcPr>
          <w:p w14:paraId="62029B18" w14:textId="77777777" w:rsidR="005E7285" w:rsidRDefault="005E7285" w:rsidP="005E7285">
            <w:pPr>
              <w:pStyle w:val="TableText"/>
            </w:pPr>
          </w:p>
        </w:tc>
        <w:tc>
          <w:tcPr>
            <w:tcW w:w="624" w:type="dxa"/>
          </w:tcPr>
          <w:p w14:paraId="1904C41C" w14:textId="77777777" w:rsidR="005E7285" w:rsidRDefault="005E7285" w:rsidP="005E7285">
            <w:pPr>
              <w:pStyle w:val="TableText"/>
              <w:numPr>
                <w:ilvl w:val="0"/>
                <w:numId w:val="21"/>
              </w:numPr>
              <w:tabs>
                <w:tab w:val="left" w:pos="624"/>
              </w:tabs>
              <w:jc w:val="both"/>
            </w:pPr>
          </w:p>
        </w:tc>
        <w:tc>
          <w:tcPr>
            <w:tcW w:w="6522" w:type="dxa"/>
            <w:gridSpan w:val="2"/>
          </w:tcPr>
          <w:p w14:paraId="66E41839" w14:textId="77777777" w:rsidR="005E7285" w:rsidRDefault="005E7285" w:rsidP="005E7285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אחרי סעיף קטן (ב) יבוא:</w:t>
            </w:r>
          </w:p>
        </w:tc>
      </w:tr>
      <w:tr w:rsidR="005E7285" w14:paraId="0566B7F4" w14:textId="77777777">
        <w:trPr>
          <w:cantSplit/>
          <w:trHeight w:val="60"/>
        </w:trPr>
        <w:tc>
          <w:tcPr>
            <w:tcW w:w="1871" w:type="dxa"/>
          </w:tcPr>
          <w:p w14:paraId="377C624A" w14:textId="77777777" w:rsidR="005E7285" w:rsidRDefault="005E7285">
            <w:pPr>
              <w:pStyle w:val="TableSideHeading"/>
            </w:pPr>
          </w:p>
        </w:tc>
        <w:tc>
          <w:tcPr>
            <w:tcW w:w="624" w:type="dxa"/>
          </w:tcPr>
          <w:p w14:paraId="39D377FE" w14:textId="77777777" w:rsidR="005E7285" w:rsidRDefault="005E7285">
            <w:pPr>
              <w:pStyle w:val="TableText"/>
            </w:pPr>
          </w:p>
        </w:tc>
        <w:tc>
          <w:tcPr>
            <w:tcW w:w="624" w:type="dxa"/>
          </w:tcPr>
          <w:p w14:paraId="00AF0D37" w14:textId="77777777" w:rsidR="005E7285" w:rsidRDefault="005E7285">
            <w:pPr>
              <w:pStyle w:val="TableText"/>
            </w:pPr>
          </w:p>
        </w:tc>
        <w:tc>
          <w:tcPr>
            <w:tcW w:w="624" w:type="dxa"/>
          </w:tcPr>
          <w:p w14:paraId="569AA476" w14:textId="77777777" w:rsidR="005E7285" w:rsidRDefault="005E7285">
            <w:pPr>
              <w:pStyle w:val="TableText"/>
            </w:pPr>
            <w:r>
              <w:rPr>
                <w:rFonts w:hint="cs"/>
                <w:rtl/>
              </w:rPr>
              <w:t xml:space="preserve">"(ג) </w:t>
            </w:r>
          </w:p>
        </w:tc>
        <w:tc>
          <w:tcPr>
            <w:tcW w:w="5898" w:type="dxa"/>
          </w:tcPr>
          <w:p w14:paraId="05A42687" w14:textId="77777777" w:rsidR="005E7285" w:rsidRDefault="005E7285">
            <w:pPr>
              <w:pStyle w:val="TableBlock"/>
            </w:pPr>
            <w:r w:rsidRPr="005E7285">
              <w:rPr>
                <w:rtl/>
              </w:rPr>
              <w:t xml:space="preserve">בלי לגרוע מהוראות סעיף זה, ציוד קצה שמתקיימות בו הוראות הדירקטיבות האירופיות הנוגעות בדבר, והוא נושא סימון </w:t>
            </w:r>
            <w:r w:rsidRPr="005E7285">
              <w:t>CE</w:t>
            </w:r>
            <w:r w:rsidRPr="005E7285">
              <w:rPr>
                <w:rtl/>
              </w:rPr>
              <w:t xml:space="preserve">  המעיד על כך, אינו טעון אישור סוג</w:t>
            </w:r>
            <w:r>
              <w:rPr>
                <w:rFonts w:hint="cs"/>
                <w:rtl/>
              </w:rPr>
              <w:t>."</w:t>
            </w:r>
          </w:p>
        </w:tc>
      </w:tr>
      <w:tr w:rsidR="005E7285" w14:paraId="15DA68C6" w14:textId="77777777">
        <w:trPr>
          <w:cantSplit/>
          <w:trHeight w:val="60"/>
        </w:trPr>
        <w:tc>
          <w:tcPr>
            <w:tcW w:w="1871" w:type="dxa"/>
          </w:tcPr>
          <w:p w14:paraId="50ABB3E0" w14:textId="77777777" w:rsidR="005E7285" w:rsidRDefault="005E7285" w:rsidP="007E751D">
            <w:pPr>
              <w:pStyle w:val="TableSideHeading"/>
              <w:keepLines w:val="0"/>
            </w:pPr>
            <w:bookmarkStart w:id="11" w:name="_Toc161308656"/>
            <w:bookmarkStart w:id="12" w:name="_Toc161308676"/>
            <w:r>
              <w:rPr>
                <w:rFonts w:hint="cs"/>
                <w:rtl/>
              </w:rPr>
              <w:t>תיקון התוספת</w:t>
            </w:r>
            <w:bookmarkEnd w:id="11"/>
            <w:bookmarkEnd w:id="12"/>
          </w:p>
        </w:tc>
        <w:tc>
          <w:tcPr>
            <w:tcW w:w="624" w:type="dxa"/>
          </w:tcPr>
          <w:p w14:paraId="662086F8" w14:textId="77777777" w:rsidR="005E7285" w:rsidRDefault="005E7285" w:rsidP="005E7285">
            <w:pPr>
              <w:pStyle w:val="TableText"/>
              <w:keepLines w:val="0"/>
              <w:numPr>
                <w:ilvl w:val="0"/>
                <w:numId w:val="4"/>
              </w:numPr>
            </w:pPr>
          </w:p>
        </w:tc>
        <w:tc>
          <w:tcPr>
            <w:tcW w:w="7146" w:type="dxa"/>
            <w:gridSpan w:val="3"/>
          </w:tcPr>
          <w:p w14:paraId="08E6B5D5" w14:textId="118FBE95" w:rsidR="005E7285" w:rsidRPr="00C34DE2" w:rsidRDefault="005E7285" w:rsidP="007A77F2">
            <w:pPr>
              <w:pStyle w:val="TableBlock"/>
              <w:keepLines w:val="0"/>
            </w:pPr>
            <w:r>
              <w:rPr>
                <w:rFonts w:hint="cs"/>
                <w:rtl/>
              </w:rPr>
              <w:t xml:space="preserve">בצו העיקרי, בתוספת, </w:t>
            </w:r>
            <w:r w:rsidR="007A77F2">
              <w:rPr>
                <w:rFonts w:hint="cs"/>
                <w:rtl/>
              </w:rPr>
              <w:t>סעיף</w:t>
            </w:r>
            <w:r>
              <w:rPr>
                <w:rFonts w:hint="cs"/>
                <w:rtl/>
              </w:rPr>
              <w:t xml:space="preserve"> (4) </w:t>
            </w:r>
            <w:r>
              <w:rPr>
                <w:rtl/>
              </w:rPr>
              <w:t>–</w:t>
            </w:r>
            <w:r w:rsidR="007A77F2">
              <w:rPr>
                <w:rFonts w:hint="cs"/>
                <w:rtl/>
              </w:rPr>
              <w:t xml:space="preserve"> בטל</w:t>
            </w:r>
            <w:r>
              <w:rPr>
                <w:rFonts w:hint="cs"/>
                <w:rtl/>
              </w:rPr>
              <w:t>.</w:t>
            </w:r>
          </w:p>
        </w:tc>
      </w:tr>
      <w:tr w:rsidR="00142F60" w14:paraId="49107AE6" w14:textId="77777777">
        <w:trPr>
          <w:cantSplit/>
          <w:trHeight w:val="60"/>
        </w:trPr>
        <w:tc>
          <w:tcPr>
            <w:tcW w:w="1871" w:type="dxa"/>
          </w:tcPr>
          <w:p w14:paraId="344D81FD" w14:textId="0AF13B43" w:rsidR="00142F60" w:rsidRDefault="00142F60" w:rsidP="00166F1E">
            <w:pPr>
              <w:pStyle w:val="TableSideHeading"/>
              <w:keepLines w:val="0"/>
              <w:rPr>
                <w:rtl/>
              </w:rPr>
            </w:pPr>
            <w:bookmarkStart w:id="13" w:name="_Toc161308657"/>
            <w:bookmarkStart w:id="14" w:name="_Toc161308677"/>
            <w:r>
              <w:rPr>
                <w:rFonts w:hint="cs"/>
                <w:rtl/>
              </w:rPr>
              <w:t xml:space="preserve">בחינה </w:t>
            </w:r>
            <w:r w:rsidR="00166F1E">
              <w:rPr>
                <w:rFonts w:hint="cs"/>
                <w:rtl/>
              </w:rPr>
              <w:t>תקופתית</w:t>
            </w:r>
            <w:bookmarkEnd w:id="13"/>
            <w:bookmarkEnd w:id="14"/>
          </w:p>
        </w:tc>
        <w:tc>
          <w:tcPr>
            <w:tcW w:w="624" w:type="dxa"/>
          </w:tcPr>
          <w:p w14:paraId="1C80A090" w14:textId="77777777" w:rsidR="00142F60" w:rsidRDefault="00142F60" w:rsidP="005E7285">
            <w:pPr>
              <w:pStyle w:val="TableText"/>
              <w:keepLines w:val="0"/>
              <w:numPr>
                <w:ilvl w:val="0"/>
                <w:numId w:val="4"/>
              </w:numPr>
            </w:pPr>
          </w:p>
        </w:tc>
        <w:tc>
          <w:tcPr>
            <w:tcW w:w="7146" w:type="dxa"/>
            <w:gridSpan w:val="3"/>
          </w:tcPr>
          <w:p w14:paraId="0D9C87C0" w14:textId="7EB25DDE" w:rsidR="00142F60" w:rsidRDefault="00142F60" w:rsidP="0081544E">
            <w:pPr>
              <w:pStyle w:val="TableBlock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 xml:space="preserve">המנהל </w:t>
            </w:r>
            <w:r w:rsidR="0081544E">
              <w:rPr>
                <w:rFonts w:hint="cs"/>
                <w:rtl/>
              </w:rPr>
              <w:t xml:space="preserve">יבצע בחינה תקופתית של הוראות </w:t>
            </w:r>
            <w:r>
              <w:rPr>
                <w:rFonts w:hint="cs"/>
                <w:rtl/>
              </w:rPr>
              <w:t xml:space="preserve">סעיף 2(ג) </w:t>
            </w:r>
            <w:r w:rsidR="0081544E">
              <w:rPr>
                <w:rFonts w:hint="cs"/>
                <w:rtl/>
              </w:rPr>
              <w:t>בתום חמש</w:t>
            </w:r>
            <w:r w:rsidRPr="0081544E">
              <w:rPr>
                <w:rFonts w:hint="cs"/>
                <w:rtl/>
              </w:rPr>
              <w:t xml:space="preserve"> שנים ממועד</w:t>
            </w:r>
            <w:r>
              <w:rPr>
                <w:rFonts w:hint="cs"/>
                <w:rtl/>
              </w:rPr>
              <w:t xml:space="preserve"> פרסום הצו</w:t>
            </w:r>
            <w:r w:rsidR="0081544E">
              <w:rPr>
                <w:rFonts w:hint="cs"/>
                <w:rtl/>
              </w:rPr>
              <w:t>, בהתאם להוראות סעיף 24 לחוק עקרונות האסדרה, התשפ"ב-2021</w:t>
            </w:r>
            <w:r>
              <w:rPr>
                <w:rFonts w:hint="cs"/>
                <w:rtl/>
              </w:rPr>
              <w:t>.</w:t>
            </w:r>
          </w:p>
        </w:tc>
      </w:tr>
    </w:tbl>
    <w:p w14:paraId="76F236D6" w14:textId="77777777" w:rsidR="002F5DE9" w:rsidRDefault="002F5DE9" w:rsidP="00307E94"/>
    <w:p w14:paraId="452EB7D0" w14:textId="77777777" w:rsidR="002F5DE9" w:rsidRDefault="002F5DE9" w:rsidP="00307E94">
      <w:pPr>
        <w:rPr>
          <w:rtl/>
        </w:rPr>
      </w:pPr>
    </w:p>
    <w:p w14:paraId="2C4E7B02" w14:textId="77777777" w:rsidR="000A28F8" w:rsidRDefault="002F5DE9" w:rsidP="000A28F8">
      <w:pPr>
        <w:rPr>
          <w:rFonts w:eastAsia="Calibri"/>
          <w:rtl/>
        </w:rPr>
      </w:pPr>
      <w:r>
        <w:rPr>
          <w:rFonts w:eastAsia="Calibri" w:hint="cs"/>
          <w:rtl/>
        </w:rPr>
        <w:t xml:space="preserve">___ ב________ </w:t>
      </w:r>
      <w:proofErr w:type="spellStart"/>
      <w:r>
        <w:rPr>
          <w:rFonts w:eastAsia="Calibri" w:hint="cs"/>
          <w:rtl/>
        </w:rPr>
        <w:t>התש</w:t>
      </w:r>
      <w:r w:rsidR="000A28F8">
        <w:rPr>
          <w:rFonts w:eastAsia="Calibri" w:hint="cs"/>
          <w:rtl/>
        </w:rPr>
        <w:t>פ"ד</w:t>
      </w:r>
      <w:proofErr w:type="spellEnd"/>
    </w:p>
    <w:p w14:paraId="59D1CA66" w14:textId="492ADFB0" w:rsidR="002F5DE9" w:rsidRDefault="002F5DE9" w:rsidP="000A28F8">
      <w:pPr>
        <w:rPr>
          <w:rFonts w:eastAsia="Calibri"/>
          <w:rtl/>
        </w:rPr>
      </w:pPr>
      <w:r>
        <w:rPr>
          <w:rFonts w:eastAsia="Calibri" w:hint="cs"/>
          <w:rtl/>
        </w:rPr>
        <w:t xml:space="preserve">(___ ב________ </w:t>
      </w:r>
      <w:r w:rsidR="00CC423B">
        <w:rPr>
          <w:rFonts w:eastAsia="Calibri" w:hint="cs"/>
          <w:rtl/>
        </w:rPr>
        <w:t>2024</w:t>
      </w:r>
      <w:r>
        <w:rPr>
          <w:rFonts w:eastAsia="Calibri" w:hint="cs"/>
          <w:rtl/>
        </w:rPr>
        <w:t>)</w:t>
      </w:r>
    </w:p>
    <w:p w14:paraId="604EA09E" w14:textId="77777777" w:rsidR="002F5DE9" w:rsidRDefault="002F5DE9" w:rsidP="00307E94">
      <w:pPr>
        <w:rPr>
          <w:rFonts w:eastAsia="Calibri"/>
          <w:rtl/>
        </w:rPr>
      </w:pPr>
      <w:r>
        <w:rPr>
          <w:rFonts w:eastAsia="Calibri" w:hint="cs"/>
          <w:rtl/>
        </w:rPr>
        <w:t>(</w:t>
      </w:r>
      <w:proofErr w:type="spellStart"/>
      <w:r>
        <w:rPr>
          <w:rFonts w:eastAsia="Calibri" w:hint="cs"/>
          <w:rtl/>
        </w:rPr>
        <w:t>חמ</w:t>
      </w:r>
      <w:proofErr w:type="spellEnd"/>
      <w:r>
        <w:rPr>
          <w:rFonts w:eastAsia="Calibri" w:hint="cs"/>
          <w:rtl/>
        </w:rPr>
        <w:t xml:space="preserve"> _____-3)</w:t>
      </w:r>
    </w:p>
    <w:p w14:paraId="4374A703" w14:textId="77777777" w:rsidR="002F5DE9" w:rsidRDefault="002F5DE9" w:rsidP="00307E94">
      <w:pPr>
        <w:rPr>
          <w:rFonts w:eastAsia="Calibri"/>
          <w:rtl/>
        </w:rPr>
      </w:pPr>
    </w:p>
    <w:p w14:paraId="6D380138" w14:textId="77777777" w:rsidR="002F5DE9" w:rsidRDefault="000A28F8" w:rsidP="000A28F8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__________________</w:t>
      </w:r>
    </w:p>
    <w:p w14:paraId="1893A719" w14:textId="5E9703ED" w:rsidR="002F5DE9" w:rsidRDefault="00DF52A6" w:rsidP="000A28F8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 xml:space="preserve">ח"כ </w:t>
      </w:r>
      <w:r w:rsidR="000A28F8">
        <w:rPr>
          <w:rFonts w:eastAsia="Calibri" w:hint="cs"/>
          <w:rtl/>
        </w:rPr>
        <w:t>שלמה קרעי</w:t>
      </w:r>
    </w:p>
    <w:p w14:paraId="737E3755" w14:textId="77777777" w:rsidR="002F5DE9" w:rsidRDefault="000A28F8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שר התקשורת</w:t>
      </w:r>
    </w:p>
    <w:p w14:paraId="4C1D9C22" w14:textId="77777777" w:rsidR="000A28F8" w:rsidRDefault="000A28F8" w:rsidP="00307E94">
      <w:pPr>
        <w:ind w:left="5760"/>
        <w:jc w:val="center"/>
        <w:rPr>
          <w:rFonts w:eastAsia="Calibri"/>
          <w:rtl/>
        </w:rPr>
      </w:pPr>
    </w:p>
    <w:p w14:paraId="26FB9FB1" w14:textId="77777777" w:rsidR="000A28F8" w:rsidRDefault="000A28F8">
      <w:pPr>
        <w:widowControl/>
        <w:bidi w:val="0"/>
        <w:spacing w:after="160" w:line="259" w:lineRule="auto"/>
        <w:ind w:left="0"/>
        <w:contextualSpacing w:val="0"/>
        <w:jc w:val="left"/>
        <w:rPr>
          <w:rFonts w:ascii="Arial" w:eastAsia="Arial Unicode MS" w:hAnsi="Arial"/>
          <w:b/>
          <w:snapToGrid w:val="0"/>
          <w:spacing w:val="40"/>
          <w:sz w:val="20"/>
          <w:szCs w:val="26"/>
          <w:rtl/>
        </w:rPr>
      </w:pPr>
      <w:r>
        <w:rPr>
          <w:rtl/>
        </w:rPr>
        <w:br w:type="page"/>
      </w:r>
    </w:p>
    <w:p w14:paraId="1E2A0CE3" w14:textId="77777777" w:rsidR="002F5DE9" w:rsidRDefault="002F5DE9" w:rsidP="00307E94">
      <w:pPr>
        <w:pStyle w:val="HeadDivreiHesber"/>
        <w:rPr>
          <w:rtl/>
        </w:rPr>
      </w:pPr>
      <w:bookmarkStart w:id="15" w:name="_Toc161308658"/>
      <w:bookmarkStart w:id="16" w:name="_Toc161308678"/>
      <w:r>
        <w:rPr>
          <w:rtl/>
        </w:rPr>
        <w:lastRenderedPageBreak/>
        <w:t>דברי הסבר</w:t>
      </w:r>
      <w:bookmarkEnd w:id="15"/>
      <w:bookmarkEnd w:id="16"/>
    </w:p>
    <w:p w14:paraId="0CCFADBE" w14:textId="77777777" w:rsidR="00820328" w:rsidRDefault="00820328">
      <w:pPr>
        <w:rPr>
          <w:highlight w:val="yellow"/>
          <w:rtl/>
        </w:rPr>
      </w:pPr>
    </w:p>
    <w:p w14:paraId="0DCBC9FD" w14:textId="0FBF3AC1" w:rsidR="00820328" w:rsidRPr="008A6D49" w:rsidRDefault="008A6D49">
      <w:pPr>
        <w:rPr>
          <w:b/>
          <w:bCs/>
          <w:rtl/>
        </w:rPr>
      </w:pPr>
      <w:r w:rsidRPr="008A6D49">
        <w:rPr>
          <w:rFonts w:hint="cs"/>
          <w:b/>
          <w:bCs/>
          <w:rtl/>
        </w:rPr>
        <w:t>כללי</w:t>
      </w:r>
    </w:p>
    <w:p w14:paraId="48634261" w14:textId="0FBC96CF" w:rsidR="00DE0F61" w:rsidRDefault="007B4B68" w:rsidP="000928DC">
      <w:pPr>
        <w:rPr>
          <w:rtl/>
        </w:rPr>
      </w:pPr>
      <w:r>
        <w:rPr>
          <w:rFonts w:hint="cs"/>
          <w:rtl/>
        </w:rPr>
        <w:t xml:space="preserve">תכליתה העיקרית של האסדרה בנושא ציוד קצה היא </w:t>
      </w:r>
      <w:r w:rsidR="000928DC">
        <w:rPr>
          <w:rFonts w:hint="cs"/>
          <w:rtl/>
        </w:rPr>
        <w:t>שמירה על בטיחות המשתמשים ו</w:t>
      </w:r>
      <w:r>
        <w:rPr>
          <w:rFonts w:hint="cs"/>
          <w:rtl/>
        </w:rPr>
        <w:t xml:space="preserve">מניעת נזק לרשתות התקשורת של </w:t>
      </w:r>
      <w:r w:rsidR="000928DC">
        <w:rPr>
          <w:rFonts w:hint="cs"/>
          <w:rtl/>
        </w:rPr>
        <w:t>מפעילי תקשורת</w:t>
      </w:r>
      <w:r>
        <w:rPr>
          <w:rFonts w:hint="cs"/>
          <w:rtl/>
        </w:rPr>
        <w:t xml:space="preserve">.  </w:t>
      </w:r>
    </w:p>
    <w:p w14:paraId="7BC72F90" w14:textId="6F6DD617" w:rsidR="008A6D49" w:rsidRDefault="008A6D49">
      <w:pPr>
        <w:rPr>
          <w:rtl/>
        </w:rPr>
      </w:pPr>
      <w:r w:rsidRPr="008A6D49">
        <w:rPr>
          <w:rFonts w:hint="cs"/>
          <w:rtl/>
        </w:rPr>
        <w:t>ציוד קצה</w:t>
      </w:r>
      <w:r>
        <w:rPr>
          <w:rFonts w:hint="cs"/>
          <w:rtl/>
        </w:rPr>
        <w:t xml:space="preserve"> מוגדר</w:t>
      </w:r>
      <w:r w:rsidR="007B4B68">
        <w:rPr>
          <w:rFonts w:hint="cs"/>
          <w:rtl/>
        </w:rPr>
        <w:t xml:space="preserve"> כיום</w:t>
      </w:r>
      <w:r>
        <w:rPr>
          <w:rFonts w:hint="cs"/>
          <w:rtl/>
        </w:rPr>
        <w:t xml:space="preserve"> בחוק התקשורת (בזק ושידורים), התשמ"ב-1982 </w:t>
      </w:r>
      <w:r w:rsidR="001E0280">
        <w:rPr>
          <w:rFonts w:hint="cs"/>
          <w:rtl/>
        </w:rPr>
        <w:t xml:space="preserve">(להלן </w:t>
      </w:r>
      <w:r w:rsidR="001E0280">
        <w:rPr>
          <w:rtl/>
        </w:rPr>
        <w:t>–</w:t>
      </w:r>
      <w:r w:rsidR="001E0280">
        <w:rPr>
          <w:rFonts w:hint="cs"/>
          <w:rtl/>
        </w:rPr>
        <w:t xml:space="preserve"> חוק התקשורת) </w:t>
      </w:r>
      <w:r>
        <w:rPr>
          <w:rFonts w:hint="cs"/>
          <w:rtl/>
        </w:rPr>
        <w:t>כך:</w:t>
      </w:r>
    </w:p>
    <w:p w14:paraId="363DB722" w14:textId="57CE9393" w:rsidR="008A6D49" w:rsidRPr="008A6D49" w:rsidRDefault="008A6D49" w:rsidP="008A6D49">
      <w:pPr>
        <w:ind w:left="720"/>
        <w:rPr>
          <w:rtl/>
        </w:rPr>
      </w:pPr>
      <w:r>
        <w:rPr>
          <w:rFonts w:hint="cs"/>
          <w:rtl/>
        </w:rPr>
        <w:t>"</w:t>
      </w:r>
      <w:r>
        <w:rPr>
          <w:rFonts w:ascii="FrankRuehl" w:hAnsi="FrankRuehl" w:cs="FrankRuehl"/>
          <w:color w:val="000000"/>
          <w:sz w:val="26"/>
          <w:szCs w:val="26"/>
          <w:rtl/>
        </w:rPr>
        <w:t xml:space="preserve">ציוד בזק, לשימושו של מנוי, המתחבר או המיועד להתחבר </w:t>
      </w:r>
      <w:proofErr w:type="spellStart"/>
      <w:r>
        <w:rPr>
          <w:rFonts w:ascii="FrankRuehl" w:hAnsi="FrankRuehl" w:cs="FrankRuehl"/>
          <w:color w:val="000000"/>
          <w:sz w:val="26"/>
          <w:szCs w:val="26"/>
          <w:rtl/>
        </w:rPr>
        <w:t>מחצריו</w:t>
      </w:r>
      <w:proofErr w:type="spellEnd"/>
      <w:r>
        <w:rPr>
          <w:rFonts w:ascii="FrankRuehl" w:hAnsi="FrankRuehl" w:cs="FrankRuehl"/>
          <w:color w:val="000000"/>
          <w:sz w:val="26"/>
          <w:szCs w:val="26"/>
          <w:rtl/>
        </w:rPr>
        <w:t xml:space="preserve"> של המנוי או מכל מקום אחר לרשת בזק בנקודת סיום רשת, לרבות ציוד רדיו טלפון נייד, מפענח או ממיר אפיקים ולרבות כל התקן אחר המותקן בחצרי המנוי והמיועד לשמש לקליטת שידורים </w:t>
      </w:r>
      <w:proofErr w:type="spellStart"/>
      <w:r>
        <w:rPr>
          <w:rFonts w:ascii="FrankRuehl" w:hAnsi="FrankRuehl" w:cs="FrankRuehl"/>
          <w:color w:val="000000"/>
          <w:sz w:val="26"/>
          <w:szCs w:val="26"/>
          <w:rtl/>
        </w:rPr>
        <w:t>בחצריו</w:t>
      </w:r>
      <w:proofErr w:type="spellEnd"/>
      <w:r>
        <w:rPr>
          <w:rFonts w:ascii="FrankRuehl" w:hAnsi="FrankRuehl" w:cs="FrankRuehl"/>
          <w:color w:val="000000"/>
          <w:sz w:val="26"/>
          <w:szCs w:val="26"/>
          <w:rtl/>
        </w:rPr>
        <w:t xml:space="preserve"> וכן ציוד קצה לווייני כהגדרתו בסעיף 6מג</w:t>
      </w:r>
      <w:r>
        <w:rPr>
          <w:rFonts w:hint="cs"/>
          <w:rtl/>
        </w:rPr>
        <w:t>"</w:t>
      </w:r>
      <w:r w:rsidRPr="008A6D49">
        <w:rPr>
          <w:rFonts w:hint="cs"/>
          <w:rtl/>
        </w:rPr>
        <w:t xml:space="preserve"> </w:t>
      </w:r>
    </w:p>
    <w:p w14:paraId="41B9448A" w14:textId="744A8F6D" w:rsidR="00820328" w:rsidRDefault="00820328">
      <w:pPr>
        <w:rPr>
          <w:rtl/>
        </w:rPr>
      </w:pPr>
    </w:p>
    <w:p w14:paraId="39F0DDF6" w14:textId="16DF51F2" w:rsidR="007B4B68" w:rsidRDefault="00DE0F61" w:rsidP="007A77F2">
      <w:pPr>
        <w:rPr>
          <w:rtl/>
        </w:rPr>
      </w:pPr>
      <w:r>
        <w:rPr>
          <w:rFonts w:hint="cs"/>
          <w:rtl/>
        </w:rPr>
        <w:t xml:space="preserve">המרבית המכרעת של ציוד קצה מיובא לישראל ממדינות זרות, ולפיכך כללי האסדרה כיום חלים בראש ובראשונה על היבואנים ועל הסוחרים בציוד. </w:t>
      </w:r>
      <w:r w:rsidR="007B4B68">
        <w:rPr>
          <w:rFonts w:hint="cs"/>
          <w:rtl/>
        </w:rPr>
        <w:t xml:space="preserve">מרבית הדגמים של ציוד קצה פטורים הלכה למעשה מהחובה לקבל אישור סוג כתנאי לסחר בהם, או בעבר </w:t>
      </w:r>
      <w:r w:rsidR="007B4B68">
        <w:rPr>
          <w:rtl/>
        </w:rPr>
        <w:t>–</w:t>
      </w:r>
      <w:r w:rsidR="007B4B68">
        <w:rPr>
          <w:rFonts w:hint="cs"/>
          <w:rtl/>
        </w:rPr>
        <w:t xml:space="preserve"> כתנאי לחיבורם לרשת הבזק הציבורית של בעל רישיון כללי למתן שירותי בזק</w:t>
      </w:r>
      <w:r>
        <w:rPr>
          <w:rFonts w:hint="cs"/>
          <w:rtl/>
        </w:rPr>
        <w:t xml:space="preserve">, וזאת מאחר שציוד </w:t>
      </w:r>
      <w:r w:rsidR="007A77F2">
        <w:rPr>
          <w:rFonts w:hint="cs"/>
          <w:rtl/>
        </w:rPr>
        <w:t xml:space="preserve">אשר </w:t>
      </w:r>
      <w:r>
        <w:rPr>
          <w:rFonts w:hint="cs"/>
          <w:rtl/>
        </w:rPr>
        <w:t>מיוצר בסטנדרטים מוכרים ובין-לאומיים אינו מעורר חשש לגרימת נזק לרשתות הבזק או למשתמשים בציוד.</w:t>
      </w:r>
      <w:r w:rsidR="00D9670E">
        <w:rPr>
          <w:rFonts w:hint="cs"/>
          <w:rtl/>
        </w:rPr>
        <w:t xml:space="preserve"> התנאים לפטור קבועים ב</w:t>
      </w:r>
      <w:r w:rsidR="00D9670E" w:rsidRPr="000A28F8">
        <w:rPr>
          <w:rtl/>
        </w:rPr>
        <w:t>צו התקשורת (בזק ושידורים) (פטור מאישור סוג לציוד קצה)</w:t>
      </w:r>
      <w:r w:rsidR="00A73942">
        <w:rPr>
          <w:rFonts w:hint="cs"/>
          <w:rtl/>
        </w:rPr>
        <w:t xml:space="preserve">, התשע"ד-2014 (להלן </w:t>
      </w:r>
      <w:r w:rsidR="00A73942">
        <w:rPr>
          <w:rtl/>
        </w:rPr>
        <w:t>–</w:t>
      </w:r>
      <w:r w:rsidR="00A73942">
        <w:rPr>
          <w:rFonts w:hint="cs"/>
          <w:rtl/>
        </w:rPr>
        <w:t xml:space="preserve"> הצו העיקרי).</w:t>
      </w:r>
    </w:p>
    <w:p w14:paraId="12275C55" w14:textId="77777777" w:rsidR="007B4B68" w:rsidRDefault="007B4B68" w:rsidP="007B4B68">
      <w:pPr>
        <w:rPr>
          <w:rtl/>
        </w:rPr>
      </w:pPr>
    </w:p>
    <w:p w14:paraId="30B99EFA" w14:textId="0CD44074" w:rsidR="007B4B68" w:rsidRDefault="00D9670E" w:rsidP="00FA73FB">
      <w:pPr>
        <w:rPr>
          <w:rtl/>
        </w:rPr>
      </w:pPr>
      <w:r>
        <w:rPr>
          <w:rFonts w:hint="cs"/>
          <w:rtl/>
        </w:rPr>
        <w:t>מוצע לתקן את הצו</w:t>
      </w:r>
      <w:r w:rsidR="00A73942">
        <w:rPr>
          <w:rFonts w:hint="cs"/>
          <w:rtl/>
        </w:rPr>
        <w:t xml:space="preserve"> העיקרי</w:t>
      </w:r>
      <w:r>
        <w:rPr>
          <w:rFonts w:hint="cs"/>
          <w:rtl/>
        </w:rPr>
        <w:t xml:space="preserve"> ולהתאי</w:t>
      </w:r>
      <w:r w:rsidR="00A73942">
        <w:rPr>
          <w:rFonts w:hint="cs"/>
          <w:rtl/>
        </w:rPr>
        <w:t>מו</w:t>
      </w:r>
      <w:r>
        <w:rPr>
          <w:rFonts w:hint="cs"/>
          <w:rtl/>
        </w:rPr>
        <w:t xml:space="preserve"> לכללי האסדרה המעודכנים, כמפורט להלן.</w:t>
      </w:r>
      <w:r w:rsidR="000928DC">
        <w:rPr>
          <w:rFonts w:hint="cs"/>
          <w:rtl/>
        </w:rPr>
        <w:t xml:space="preserve"> </w:t>
      </w:r>
      <w:r w:rsidR="00FA73FB">
        <w:rPr>
          <w:rFonts w:hint="cs"/>
          <w:rtl/>
        </w:rPr>
        <w:t xml:space="preserve">כמו כן, </w:t>
      </w:r>
      <w:r w:rsidR="000928DC">
        <w:rPr>
          <w:rFonts w:hint="cs"/>
          <w:rtl/>
        </w:rPr>
        <w:t xml:space="preserve">מוצע להתאים את הצו העיקרי לנוסחו של חוק התקשורת לאחר תיקון מס' 76 מיולי 2022 (להלן </w:t>
      </w:r>
      <w:r w:rsidR="000928DC">
        <w:rPr>
          <w:rtl/>
        </w:rPr>
        <w:t>–</w:t>
      </w:r>
      <w:r w:rsidR="000928DC">
        <w:rPr>
          <w:rFonts w:hint="cs"/>
          <w:rtl/>
        </w:rPr>
        <w:t xml:space="preserve"> תיקון מס' </w:t>
      </w:r>
      <w:r w:rsidR="003B56C1">
        <w:rPr>
          <w:rFonts w:hint="cs"/>
          <w:rtl/>
        </w:rPr>
        <w:t xml:space="preserve"> </w:t>
      </w:r>
      <w:r w:rsidR="000928DC">
        <w:rPr>
          <w:rFonts w:hint="cs"/>
          <w:rtl/>
        </w:rPr>
        <w:t>76).</w:t>
      </w:r>
    </w:p>
    <w:p w14:paraId="10EB472E" w14:textId="2D166B95" w:rsidR="00D9670E" w:rsidRDefault="00D9670E" w:rsidP="007B4B68">
      <w:pPr>
        <w:rPr>
          <w:rtl/>
        </w:rPr>
      </w:pPr>
    </w:p>
    <w:p w14:paraId="5029EBA0" w14:textId="4A339925" w:rsidR="00D9670E" w:rsidRPr="00D9670E" w:rsidRDefault="00D9670E" w:rsidP="007B4B68">
      <w:pPr>
        <w:rPr>
          <w:b/>
          <w:bCs/>
          <w:rtl/>
        </w:rPr>
      </w:pPr>
      <w:r w:rsidRPr="00D9670E">
        <w:rPr>
          <w:rFonts w:hint="cs"/>
          <w:b/>
          <w:bCs/>
          <w:rtl/>
        </w:rPr>
        <w:t>לסעיף 1</w:t>
      </w:r>
    </w:p>
    <w:p w14:paraId="3886FE2D" w14:textId="67373751" w:rsidR="00D9670E" w:rsidRDefault="001E0280" w:rsidP="00CC423B">
      <w:pPr>
        <w:rPr>
          <w:rtl/>
        </w:rPr>
      </w:pPr>
      <w:r>
        <w:rPr>
          <w:rFonts w:hint="cs"/>
          <w:rtl/>
        </w:rPr>
        <w:t>מוצע למחוק את ההגדר</w:t>
      </w:r>
      <w:r w:rsidR="00CC423B">
        <w:rPr>
          <w:rFonts w:hint="cs"/>
          <w:rtl/>
        </w:rPr>
        <w:t xml:space="preserve">ה </w:t>
      </w:r>
      <w:r>
        <w:rPr>
          <w:rFonts w:hint="cs"/>
          <w:rtl/>
        </w:rPr>
        <w:t>"סחר" מאחר שמונח</w:t>
      </w:r>
      <w:r w:rsidR="00CC423B">
        <w:rPr>
          <w:rFonts w:hint="cs"/>
          <w:rtl/>
        </w:rPr>
        <w:t xml:space="preserve"> זה מוגדר</w:t>
      </w:r>
      <w:r>
        <w:rPr>
          <w:rFonts w:hint="cs"/>
          <w:rtl/>
        </w:rPr>
        <w:t xml:space="preserve"> בחוק </w:t>
      </w:r>
      <w:r w:rsidR="00A73942">
        <w:rPr>
          <w:rFonts w:hint="cs"/>
          <w:rtl/>
        </w:rPr>
        <w:t>המסמיך, וזאת כחלק מהתאמה של חקיקת המשנה מכוח חוק התקשורת</w:t>
      </w:r>
      <w:r w:rsidR="00FA73FB">
        <w:rPr>
          <w:rFonts w:hint="cs"/>
          <w:rtl/>
        </w:rPr>
        <w:t xml:space="preserve">, </w:t>
      </w:r>
      <w:r w:rsidR="00A73942">
        <w:rPr>
          <w:rFonts w:hint="cs"/>
          <w:rtl/>
        </w:rPr>
        <w:t xml:space="preserve"> לנוסחו </w:t>
      </w:r>
      <w:r w:rsidR="00FA73FB">
        <w:rPr>
          <w:rFonts w:hint="cs"/>
          <w:rtl/>
        </w:rPr>
        <w:t xml:space="preserve">של חוק התקשורת </w:t>
      </w:r>
      <w:r w:rsidR="00A73942">
        <w:rPr>
          <w:rFonts w:hint="cs"/>
          <w:rtl/>
        </w:rPr>
        <w:t>כיום לאחר תיקון מס' 76</w:t>
      </w:r>
      <w:r w:rsidR="000928DC">
        <w:rPr>
          <w:rFonts w:hint="cs"/>
          <w:rtl/>
        </w:rPr>
        <w:t>.</w:t>
      </w:r>
    </w:p>
    <w:p w14:paraId="6B6D2E4F" w14:textId="3D9B481C" w:rsidR="007B4B68" w:rsidRDefault="007B4B68" w:rsidP="007B4B68">
      <w:pPr>
        <w:rPr>
          <w:rtl/>
        </w:rPr>
      </w:pPr>
    </w:p>
    <w:p w14:paraId="30C443AA" w14:textId="50952025" w:rsidR="00D9670E" w:rsidRPr="00D9670E" w:rsidRDefault="00D9670E" w:rsidP="00D9670E">
      <w:pPr>
        <w:rPr>
          <w:b/>
          <w:bCs/>
          <w:rtl/>
        </w:rPr>
      </w:pPr>
      <w:r w:rsidRPr="00D9670E">
        <w:rPr>
          <w:rFonts w:hint="cs"/>
          <w:b/>
          <w:bCs/>
          <w:rtl/>
        </w:rPr>
        <w:t>לסעיף 2</w:t>
      </w:r>
    </w:p>
    <w:p w14:paraId="746490F8" w14:textId="456C7350" w:rsidR="00D9670E" w:rsidRDefault="00A73942" w:rsidP="003B56C1">
      <w:pPr>
        <w:rPr>
          <w:rtl/>
        </w:rPr>
      </w:pPr>
      <w:r>
        <w:rPr>
          <w:rFonts w:hint="cs"/>
          <w:rtl/>
        </w:rPr>
        <w:t xml:space="preserve">לאחר תיקון מס' </w:t>
      </w:r>
      <w:r w:rsidR="00FA73FB">
        <w:rPr>
          <w:rFonts w:hint="cs"/>
          <w:rtl/>
        </w:rPr>
        <w:t xml:space="preserve"> </w:t>
      </w:r>
      <w:r>
        <w:rPr>
          <w:rFonts w:hint="cs"/>
          <w:rtl/>
        </w:rPr>
        <w:t>76</w:t>
      </w:r>
      <w:r w:rsidR="000928DC">
        <w:rPr>
          <w:rFonts w:hint="cs"/>
          <w:rtl/>
        </w:rPr>
        <w:t xml:space="preserve">, </w:t>
      </w:r>
      <w:r>
        <w:rPr>
          <w:rFonts w:hint="cs"/>
          <w:rtl/>
        </w:rPr>
        <w:t>חוק</w:t>
      </w:r>
      <w:r w:rsidR="000928DC">
        <w:rPr>
          <w:rFonts w:hint="cs"/>
          <w:rtl/>
        </w:rPr>
        <w:t xml:space="preserve"> התקשורת</w:t>
      </w:r>
      <w:r>
        <w:rPr>
          <w:rFonts w:hint="cs"/>
          <w:rtl/>
        </w:rPr>
        <w:t xml:space="preserve"> אינו מבחין עוד בין ציוד קצה אשר מתחבר לרשת בזק של ספק מורשה שהיה בעל רישיון כללי, לבין </w:t>
      </w:r>
      <w:r w:rsidR="00FA73FB">
        <w:rPr>
          <w:rFonts w:hint="cs"/>
          <w:rtl/>
        </w:rPr>
        <w:t>ציוד קצה המתחבר ל</w:t>
      </w:r>
      <w:r w:rsidR="00645824">
        <w:rPr>
          <w:rFonts w:hint="cs"/>
          <w:rtl/>
        </w:rPr>
        <w:t xml:space="preserve">רשת בזק של </w:t>
      </w:r>
      <w:r>
        <w:rPr>
          <w:rFonts w:hint="cs"/>
          <w:rtl/>
        </w:rPr>
        <w:t>ספק מורשה אחר, ולפיכך מוצע להתאים את סעיף 2(א) לצו העיקרי להוראות החוק המתוקן.</w:t>
      </w:r>
    </w:p>
    <w:p w14:paraId="464CA150" w14:textId="0293B903" w:rsidR="00A73942" w:rsidRDefault="00A73942" w:rsidP="00A73942">
      <w:pPr>
        <w:rPr>
          <w:rtl/>
        </w:rPr>
      </w:pPr>
      <w:r>
        <w:rPr>
          <w:rFonts w:hint="cs"/>
          <w:rtl/>
        </w:rPr>
        <w:t>בנוסף מוצע לעגן בצו העיקרי את הפרקטיקה הקיימת</w:t>
      </w:r>
      <w:r w:rsidR="007A77F2">
        <w:rPr>
          <w:rFonts w:hint="cs"/>
          <w:rtl/>
        </w:rPr>
        <w:t xml:space="preserve"> זה מכבר</w:t>
      </w:r>
      <w:r>
        <w:rPr>
          <w:rFonts w:hint="cs"/>
          <w:rtl/>
        </w:rPr>
        <w:t xml:space="preserve"> לפיה ציוד קצה אשר </w:t>
      </w:r>
      <w:r w:rsidRPr="005E7285">
        <w:rPr>
          <w:rtl/>
        </w:rPr>
        <w:t xml:space="preserve">מתקיימות בו הוראות הדירקטיבות האירופיות הנוגעות בדבר, והוא נושא סימון </w:t>
      </w:r>
      <w:r w:rsidRPr="005E7285">
        <w:t>CE</w:t>
      </w:r>
      <w:r w:rsidRPr="005E7285">
        <w:rPr>
          <w:rtl/>
        </w:rPr>
        <w:t xml:space="preserve">  המעיד על כך, אינו טעון אישור סוג</w:t>
      </w:r>
      <w:r>
        <w:rPr>
          <w:rFonts w:hint="cs"/>
          <w:rtl/>
        </w:rPr>
        <w:t xml:space="preserve">, וזאת מהטעמים הבאים: </w:t>
      </w:r>
    </w:p>
    <w:p w14:paraId="752D3720" w14:textId="42EB5E51" w:rsidR="007777D5" w:rsidRDefault="00A73942" w:rsidP="004168E9">
      <w:pPr>
        <w:rPr>
          <w:rtl/>
        </w:rPr>
      </w:pPr>
      <w:r>
        <w:rPr>
          <w:rFonts w:hint="cs"/>
          <w:rtl/>
        </w:rPr>
        <w:lastRenderedPageBreak/>
        <w:t xml:space="preserve">ממשלת ישראל החליטה </w:t>
      </w:r>
      <w:r w:rsidR="007A77F2">
        <w:rPr>
          <w:rFonts w:hint="cs"/>
          <w:rtl/>
        </w:rPr>
        <w:t xml:space="preserve">בשנים האחרונות </w:t>
      </w:r>
      <w:r>
        <w:rPr>
          <w:rFonts w:hint="cs"/>
          <w:rtl/>
        </w:rPr>
        <w:t>לאמץ את כללי האסדרה הנהוגים באירופה בשורה של תחומים</w:t>
      </w:r>
      <w:r w:rsidR="00486E42">
        <w:rPr>
          <w:rFonts w:hint="cs"/>
          <w:rtl/>
        </w:rPr>
        <w:t>,</w:t>
      </w:r>
      <w:r w:rsidR="004168E9">
        <w:rPr>
          <w:rFonts w:hint="cs"/>
          <w:rtl/>
        </w:rPr>
        <w:t xml:space="preserve"> בפרט בתחום הייבוא המסחרי,</w:t>
      </w:r>
      <w:r w:rsidR="00486E42">
        <w:rPr>
          <w:rFonts w:hint="cs"/>
          <w:rtl/>
        </w:rPr>
        <w:t xml:space="preserve"> ובכלל כך </w:t>
      </w:r>
      <w:r w:rsidR="004168E9">
        <w:rPr>
          <w:rFonts w:hint="cs"/>
          <w:rtl/>
        </w:rPr>
        <w:t xml:space="preserve">במידת האפשר </w:t>
      </w:r>
      <w:r w:rsidR="00486E42">
        <w:rPr>
          <w:rFonts w:hint="cs"/>
          <w:rtl/>
        </w:rPr>
        <w:t xml:space="preserve">בתחום ציוד תקשורת וציוד אלחוטי. </w:t>
      </w:r>
      <w:r w:rsidR="009D2D74">
        <w:rPr>
          <w:rFonts w:hint="cs"/>
          <w:rtl/>
        </w:rPr>
        <w:t xml:space="preserve">זאת מתוך תפיסה כי "מה שטוב לאירופה טוב גם לישראל", </w:t>
      </w:r>
      <w:r w:rsidR="00486E42">
        <w:rPr>
          <w:rFonts w:hint="cs"/>
          <w:rtl/>
        </w:rPr>
        <w:t>כך נעשה</w:t>
      </w:r>
      <w:r w:rsidR="009D2D74">
        <w:rPr>
          <w:rFonts w:hint="cs"/>
          <w:rtl/>
        </w:rPr>
        <w:t xml:space="preserve"> לדוגמה</w:t>
      </w:r>
      <w:r w:rsidR="00486E42">
        <w:rPr>
          <w:rFonts w:hint="cs"/>
          <w:rtl/>
        </w:rPr>
        <w:t xml:space="preserve"> גם בשנת 202</w:t>
      </w:r>
      <w:r w:rsidR="004168E9">
        <w:rPr>
          <w:rFonts w:hint="cs"/>
          <w:rtl/>
        </w:rPr>
        <w:t>2</w:t>
      </w:r>
      <w:r w:rsidR="00486E42">
        <w:rPr>
          <w:rFonts w:hint="cs"/>
          <w:rtl/>
        </w:rPr>
        <w:t xml:space="preserve"> בתיקון לתקנות הטלגרף האלחוטי </w:t>
      </w:r>
      <w:r w:rsidR="004168E9">
        <w:rPr>
          <w:rFonts w:hint="cs"/>
          <w:rtl/>
        </w:rPr>
        <w:t>(אישורי התאמה), התשפ"א-2021</w:t>
      </w:r>
      <w:r w:rsidR="004168E9">
        <w:rPr>
          <w:rStyle w:val="a7"/>
          <w:rtl/>
        </w:rPr>
        <w:footnoteReference w:id="4"/>
      </w:r>
      <w:r w:rsidR="004928D1">
        <w:rPr>
          <w:rFonts w:hint="cs"/>
          <w:rtl/>
        </w:rPr>
        <w:t>, שעניינו יבוא מסחרי של ציוד אלחוטי לישראל</w:t>
      </w:r>
      <w:r w:rsidR="004168E9">
        <w:rPr>
          <w:rFonts w:hint="cs"/>
          <w:rtl/>
        </w:rPr>
        <w:t>.</w:t>
      </w:r>
      <w:r w:rsidR="007777D5">
        <w:rPr>
          <w:rFonts w:hint="cs"/>
          <w:rtl/>
        </w:rPr>
        <w:t xml:space="preserve"> </w:t>
      </w:r>
      <w:r w:rsidR="00B3167E">
        <w:rPr>
          <w:rFonts w:hint="cs"/>
          <w:rtl/>
        </w:rPr>
        <w:t xml:space="preserve">הקלות דומות נקבעו גם בתחום האנרגיה, התמרוקים והמזון, מכוח </w:t>
      </w:r>
      <w:r w:rsidR="00B3167E" w:rsidRPr="00B3167E">
        <w:rPr>
          <w:rtl/>
        </w:rPr>
        <w:t xml:space="preserve">חוק התכנית הכלכלית (תיקוני חקיקה ליישום המדיניות הכלכלית לשנות התקציב 2021 ו-2022), </w:t>
      </w:r>
      <w:r w:rsidR="00B3167E">
        <w:rPr>
          <w:rFonts w:hint="cs"/>
          <w:rtl/>
        </w:rPr>
        <w:t>ה</w:t>
      </w:r>
      <w:r w:rsidR="00B3167E" w:rsidRPr="00B3167E">
        <w:rPr>
          <w:rtl/>
        </w:rPr>
        <w:t>תשפ"ב-2021</w:t>
      </w:r>
      <w:r w:rsidR="00B3167E">
        <w:rPr>
          <w:rFonts w:hint="cs"/>
          <w:rtl/>
        </w:rPr>
        <w:t>.</w:t>
      </w:r>
    </w:p>
    <w:p w14:paraId="7CC05E50" w14:textId="2755A4FC" w:rsidR="00A73942" w:rsidRDefault="007777D5" w:rsidP="000928DC">
      <w:pPr>
        <w:rPr>
          <w:rtl/>
        </w:rPr>
      </w:pPr>
      <w:r>
        <w:rPr>
          <w:rFonts w:hint="cs"/>
          <w:rtl/>
        </w:rPr>
        <w:t xml:space="preserve">יובהר כי ציוד קצה שעומד כיום בתנאי הצו העיקרי ככל הנראה כבר עומד </w:t>
      </w:r>
      <w:r w:rsidR="007A77F2">
        <w:rPr>
          <w:rFonts w:hint="cs"/>
          <w:rtl/>
        </w:rPr>
        <w:t xml:space="preserve">מהותית </w:t>
      </w:r>
      <w:r>
        <w:rPr>
          <w:rFonts w:hint="cs"/>
          <w:rtl/>
        </w:rPr>
        <w:t xml:space="preserve">בדרישה זו, מאחר שהוא מיוצר או משווק במדינות האיחוד האירופי, וממילא מסומן בסימון </w:t>
      </w:r>
      <w:r>
        <w:rPr>
          <w:rFonts w:hint="cs"/>
        </w:rPr>
        <w:t>CE</w:t>
      </w:r>
      <w:r>
        <w:rPr>
          <w:rFonts w:hint="cs"/>
          <w:rtl/>
        </w:rPr>
        <w:t>.</w:t>
      </w:r>
      <w:r w:rsidR="000928DC">
        <w:rPr>
          <w:rFonts w:hint="cs"/>
          <w:rtl/>
        </w:rPr>
        <w:t xml:space="preserve"> </w:t>
      </w:r>
      <w:r w:rsidR="007A77F2">
        <w:rPr>
          <w:rFonts w:hint="cs"/>
          <w:rtl/>
        </w:rPr>
        <w:t>יחד עם זאת, התיקון המוצע</w:t>
      </w:r>
      <w:r>
        <w:rPr>
          <w:rFonts w:hint="cs"/>
          <w:rtl/>
        </w:rPr>
        <w:t xml:space="preserve"> יקל הלכה למעשה על היבואנים של הציוד ועל הסוחרים בו, מאחר שניתן יהיה להוכיח בקלות יחסית את עמידתו בתנאי האמור </w:t>
      </w:r>
      <w:r>
        <w:rPr>
          <w:rtl/>
        </w:rPr>
        <w:t>–</w:t>
      </w:r>
      <w:r>
        <w:rPr>
          <w:rFonts w:hint="cs"/>
          <w:rtl/>
        </w:rPr>
        <w:t xml:space="preserve"> בשל הסימון של הציוד בסימן </w:t>
      </w:r>
      <w:r>
        <w:rPr>
          <w:rFonts w:hint="cs"/>
        </w:rPr>
        <w:t>CE</w:t>
      </w:r>
      <w:r>
        <w:rPr>
          <w:rFonts w:hint="cs"/>
          <w:rtl/>
        </w:rPr>
        <w:t>.</w:t>
      </w:r>
    </w:p>
    <w:p w14:paraId="511A6D7C" w14:textId="77777777" w:rsidR="00D9670E" w:rsidRPr="008A6D49" w:rsidRDefault="00D9670E" w:rsidP="00D9670E">
      <w:pPr>
        <w:rPr>
          <w:rtl/>
        </w:rPr>
      </w:pPr>
      <w:r>
        <w:rPr>
          <w:rFonts w:hint="cs"/>
          <w:rtl/>
        </w:rPr>
        <w:t xml:space="preserve">  </w:t>
      </w:r>
    </w:p>
    <w:p w14:paraId="7DE6FD64" w14:textId="550EF95B" w:rsidR="00D9670E" w:rsidRPr="00D9670E" w:rsidRDefault="00D9670E" w:rsidP="00A73942">
      <w:pPr>
        <w:rPr>
          <w:b/>
          <w:bCs/>
          <w:rtl/>
        </w:rPr>
      </w:pPr>
      <w:r w:rsidRPr="00D9670E">
        <w:rPr>
          <w:rFonts w:hint="cs"/>
          <w:b/>
          <w:bCs/>
          <w:rtl/>
        </w:rPr>
        <w:t xml:space="preserve">לסעיף </w:t>
      </w:r>
      <w:r w:rsidR="00A73942">
        <w:rPr>
          <w:rFonts w:hint="cs"/>
          <w:b/>
          <w:bCs/>
          <w:rtl/>
        </w:rPr>
        <w:t>3</w:t>
      </w:r>
    </w:p>
    <w:p w14:paraId="2193F33F" w14:textId="3BF3750B" w:rsidR="00D9670E" w:rsidRDefault="00A73942" w:rsidP="00CB5EC7">
      <w:pPr>
        <w:rPr>
          <w:rtl/>
        </w:rPr>
      </w:pPr>
      <w:r>
        <w:rPr>
          <w:rFonts w:hint="cs"/>
          <w:rtl/>
        </w:rPr>
        <w:t xml:space="preserve">בהתאם להחלטה מיום </w:t>
      </w:r>
      <w:r w:rsidR="00CB5EC7">
        <w:rPr>
          <w:rFonts w:hint="cs"/>
          <w:rtl/>
        </w:rPr>
        <w:t>18 במרץ 2024</w:t>
      </w:r>
      <w:r w:rsidR="00CB5EC7">
        <w:rPr>
          <w:rStyle w:val="a7"/>
          <w:rtl/>
        </w:rPr>
        <w:footnoteReference w:id="5"/>
      </w:r>
      <w:r>
        <w:rPr>
          <w:rFonts w:hint="cs"/>
          <w:rtl/>
        </w:rPr>
        <w:t xml:space="preserve"> ציוד מסוג </w:t>
      </w:r>
      <w:r>
        <w:rPr>
          <w:rFonts w:hint="cs"/>
        </w:rPr>
        <w:t>DOCSIS</w:t>
      </w:r>
      <w:r>
        <w:rPr>
          <w:rFonts w:hint="cs"/>
          <w:rtl/>
        </w:rPr>
        <w:t xml:space="preserve"> אינו </w:t>
      </w:r>
      <w:r w:rsidR="009115D4">
        <w:rPr>
          <w:rFonts w:hint="cs"/>
          <w:rtl/>
        </w:rPr>
        <w:t>מסווג עוד כ</w:t>
      </w:r>
      <w:r>
        <w:rPr>
          <w:rFonts w:hint="cs"/>
          <w:rtl/>
        </w:rPr>
        <w:t>ציוד קצה אלא</w:t>
      </w:r>
      <w:r w:rsidR="009115D4">
        <w:rPr>
          <w:rFonts w:hint="cs"/>
          <w:rtl/>
        </w:rPr>
        <w:t xml:space="preserve"> נחשב</w:t>
      </w:r>
      <w:r>
        <w:rPr>
          <w:rFonts w:hint="cs"/>
          <w:rtl/>
        </w:rPr>
        <w:t xml:space="preserve"> לחלק מרשת הבזק של הספק המורשה, ולפיכך לא חלים עליו כללי האסדרה בנושא. מוצע </w:t>
      </w:r>
      <w:r w:rsidR="007A77F2">
        <w:rPr>
          <w:rFonts w:hint="cs"/>
          <w:rtl/>
        </w:rPr>
        <w:t>לבטל</w:t>
      </w:r>
      <w:r>
        <w:rPr>
          <w:rFonts w:hint="cs"/>
          <w:rtl/>
        </w:rPr>
        <w:t xml:space="preserve"> בהתאמה את </w:t>
      </w:r>
      <w:r w:rsidR="007A77F2">
        <w:rPr>
          <w:rFonts w:hint="cs"/>
          <w:rtl/>
        </w:rPr>
        <w:t>סעיף</w:t>
      </w:r>
      <w:r>
        <w:rPr>
          <w:rFonts w:hint="cs"/>
          <w:rtl/>
        </w:rPr>
        <w:t xml:space="preserve"> 4 בתוספת לצו, שעניינו ציוד מסוג </w:t>
      </w:r>
      <w:r>
        <w:rPr>
          <w:rFonts w:hint="cs"/>
        </w:rPr>
        <w:t>DOCSIS</w:t>
      </w:r>
      <w:r>
        <w:rPr>
          <w:rFonts w:hint="cs"/>
          <w:rtl/>
        </w:rPr>
        <w:t>. הקביעה כי ציוד כאמור אינו ציוד קצה נעשתה בהמשך לשימוע שפרסם משרד התקשורת ביום 29 בנובמבר 2022</w:t>
      </w:r>
      <w:r>
        <w:rPr>
          <w:rStyle w:val="a7"/>
          <w:rtl/>
        </w:rPr>
        <w:footnoteReference w:id="6"/>
      </w:r>
      <w:r>
        <w:rPr>
          <w:rFonts w:hint="cs"/>
          <w:rtl/>
        </w:rPr>
        <w:t>.</w:t>
      </w:r>
    </w:p>
    <w:p w14:paraId="3B0504D2" w14:textId="31998973" w:rsidR="0081544E" w:rsidRDefault="0081544E" w:rsidP="009115D4">
      <w:pPr>
        <w:rPr>
          <w:rtl/>
        </w:rPr>
      </w:pPr>
    </w:p>
    <w:p w14:paraId="6BD6B41E" w14:textId="14EFB80B" w:rsidR="0081544E" w:rsidRPr="00D9670E" w:rsidRDefault="0081544E" w:rsidP="0081544E">
      <w:pPr>
        <w:rPr>
          <w:b/>
          <w:bCs/>
          <w:rtl/>
        </w:rPr>
      </w:pPr>
      <w:r w:rsidRPr="00D9670E">
        <w:rPr>
          <w:rFonts w:hint="cs"/>
          <w:b/>
          <w:bCs/>
          <w:rtl/>
        </w:rPr>
        <w:t xml:space="preserve">לסעיף </w:t>
      </w:r>
      <w:r>
        <w:rPr>
          <w:rFonts w:hint="cs"/>
          <w:b/>
          <w:bCs/>
          <w:rtl/>
        </w:rPr>
        <w:t>4</w:t>
      </w:r>
    </w:p>
    <w:p w14:paraId="26C8C090" w14:textId="203292F4" w:rsidR="0081544E" w:rsidRDefault="0081544E" w:rsidP="0081544E">
      <w:pPr>
        <w:rPr>
          <w:rtl/>
        </w:rPr>
      </w:pPr>
      <w:r>
        <w:rPr>
          <w:rFonts w:hint="cs"/>
          <w:rtl/>
        </w:rPr>
        <w:t>מוצע כי המנהל יבצע בחינה תקופתית של האסדרה המוצעת לעניין עמידה בהוראות האסדרה האירופאית בתום תקופה של 5 שנים, וזאת בהתאם להוראות סעיף 24 לחוק עקרונות האסדרה, התשפ"ב-2021.</w:t>
      </w:r>
    </w:p>
    <w:p w14:paraId="6A3AC64F" w14:textId="77777777" w:rsidR="0081544E" w:rsidRDefault="0081544E" w:rsidP="009115D4">
      <w:pPr>
        <w:rPr>
          <w:rtl/>
        </w:rPr>
      </w:pPr>
    </w:p>
    <w:sectPr w:rsidR="0081544E" w:rsidSect="002F5DE9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7CEC4" w14:textId="77777777" w:rsidR="001F5D01" w:rsidRDefault="001F5D01" w:rsidP="005E7285">
      <w:pPr>
        <w:spacing w:line="240" w:lineRule="auto"/>
      </w:pPr>
      <w:r>
        <w:separator/>
      </w:r>
    </w:p>
  </w:endnote>
  <w:endnote w:type="continuationSeparator" w:id="0">
    <w:p w14:paraId="363B322B" w14:textId="77777777" w:rsidR="001F5D01" w:rsidRDefault="001F5D01" w:rsidP="005E7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altName w:val="Times New Roman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8B9B5" w14:textId="77777777" w:rsidR="001F5D01" w:rsidRDefault="001F5D01" w:rsidP="005E7285">
      <w:pPr>
        <w:spacing w:line="240" w:lineRule="auto"/>
      </w:pPr>
      <w:r>
        <w:separator/>
      </w:r>
    </w:p>
  </w:footnote>
  <w:footnote w:type="continuationSeparator" w:id="0">
    <w:p w14:paraId="034649C7" w14:textId="77777777" w:rsidR="001F5D01" w:rsidRDefault="001F5D01" w:rsidP="005E7285">
      <w:pPr>
        <w:spacing w:line="240" w:lineRule="auto"/>
      </w:pPr>
      <w:r>
        <w:continuationSeparator/>
      </w:r>
    </w:p>
  </w:footnote>
  <w:footnote w:id="1">
    <w:p w14:paraId="4BC2098E" w14:textId="2110186A" w:rsidR="005E7285" w:rsidRDefault="005E7285" w:rsidP="007B4B68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 w:rsidR="007B4B68">
        <w:rPr>
          <w:rFonts w:hint="cs"/>
          <w:rtl/>
        </w:rPr>
        <w:t xml:space="preserve">ס"ח </w:t>
      </w:r>
      <w:proofErr w:type="spellStart"/>
      <w:r w:rsidR="007B4B68">
        <w:rPr>
          <w:rFonts w:hint="cs"/>
          <w:rtl/>
        </w:rPr>
        <w:t>התשמ"ב</w:t>
      </w:r>
      <w:proofErr w:type="spellEnd"/>
      <w:r w:rsidR="007B4B68">
        <w:rPr>
          <w:rFonts w:hint="cs"/>
          <w:rtl/>
        </w:rPr>
        <w:t xml:space="preserve">, עמ' 1060; ס"ח </w:t>
      </w:r>
      <w:proofErr w:type="spellStart"/>
      <w:r w:rsidR="007B4B68">
        <w:rPr>
          <w:rFonts w:hint="cs"/>
          <w:rtl/>
        </w:rPr>
        <w:t>התשפ"ב</w:t>
      </w:r>
      <w:proofErr w:type="spellEnd"/>
      <w:r w:rsidR="007B4B68">
        <w:rPr>
          <w:rFonts w:hint="cs"/>
          <w:rtl/>
        </w:rPr>
        <w:t>, עמ' 934.</w:t>
      </w:r>
    </w:p>
  </w:footnote>
  <w:footnote w:id="2">
    <w:p w14:paraId="5A85E5DF" w14:textId="580C2433" w:rsidR="0081544E" w:rsidRDefault="0081544E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התשפ"ב</w:t>
      </w:r>
      <w:proofErr w:type="spellEnd"/>
      <w:r>
        <w:rPr>
          <w:rFonts w:hint="cs"/>
          <w:rtl/>
        </w:rPr>
        <w:t>, עמ' 2933.</w:t>
      </w:r>
    </w:p>
  </w:footnote>
  <w:footnote w:id="3">
    <w:p w14:paraId="6DF57256" w14:textId="26FA8845" w:rsidR="005E7285" w:rsidRDefault="005E7285" w:rsidP="00637276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 w:rsidR="00637276">
        <w:rPr>
          <w:rFonts w:hint="cs"/>
          <w:rtl/>
        </w:rPr>
        <w:t>ק"ת</w:t>
      </w:r>
      <w:proofErr w:type="spellEnd"/>
      <w:r w:rsidR="00637276">
        <w:rPr>
          <w:rFonts w:hint="cs"/>
          <w:rtl/>
        </w:rPr>
        <w:t xml:space="preserve"> </w:t>
      </w:r>
      <w:proofErr w:type="spellStart"/>
      <w:r w:rsidR="007B4B68">
        <w:rPr>
          <w:rFonts w:hint="cs"/>
          <w:rtl/>
        </w:rPr>
        <w:t>התשע"ד</w:t>
      </w:r>
      <w:proofErr w:type="spellEnd"/>
      <w:r w:rsidR="007B4B68">
        <w:rPr>
          <w:rFonts w:hint="cs"/>
          <w:rtl/>
        </w:rPr>
        <w:t>, עמ' 1765.</w:t>
      </w:r>
    </w:p>
  </w:footnote>
  <w:footnote w:id="4">
    <w:p w14:paraId="1FD9FD4A" w14:textId="030FA506" w:rsidR="004168E9" w:rsidRDefault="004168E9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ר. לדוגמה תקנה 5א לתקנות אלה.</w:t>
      </w:r>
    </w:p>
  </w:footnote>
  <w:footnote w:id="5">
    <w:p w14:paraId="05DDEA83" w14:textId="31ED979D" w:rsidR="00CB5EC7" w:rsidRDefault="00CB5EC7">
      <w:pPr>
        <w:pStyle w:val="a5"/>
        <w:rPr>
          <w:rFonts w:hint="cs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hyperlink r:id="rId1" w:history="1">
        <w:r w:rsidRPr="001D17E2">
          <w:rPr>
            <w:rStyle w:val="Hyperlink"/>
          </w:rPr>
          <w:t>https://www.gov.il/he/Departments/policies/19032024_1</w:t>
        </w:r>
      </w:hyperlink>
      <w:r>
        <w:rPr>
          <w:rFonts w:hint="cs"/>
          <w:rtl/>
        </w:rPr>
        <w:t xml:space="preserve"> </w:t>
      </w:r>
      <w:bookmarkStart w:id="17" w:name="_GoBack"/>
      <w:bookmarkEnd w:id="17"/>
    </w:p>
  </w:footnote>
  <w:footnote w:id="6">
    <w:p w14:paraId="37A825FA" w14:textId="31EA6EDA" w:rsidR="00A73942" w:rsidRDefault="00A73942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hyperlink r:id="rId2" w:history="1">
        <w:r w:rsidRPr="00337F27">
          <w:rPr>
            <w:rStyle w:val="Hyperlink"/>
          </w:rPr>
          <w:t>https://www.gov.il/he/departments/publications/Call_for_bids/29112022</w:t>
        </w:r>
      </w:hyperlink>
    </w:p>
    <w:p w14:paraId="1C771A2C" w14:textId="77777777" w:rsidR="00A73942" w:rsidRPr="00A73942" w:rsidRDefault="00A73942">
      <w:pPr>
        <w:pStyle w:val="a5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54904"/>
    <w:multiLevelType w:val="hybridMultilevel"/>
    <w:tmpl w:val="A70C19A6"/>
    <w:lvl w:ilvl="0" w:tplc="2D0C7066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61135"/>
    <w:multiLevelType w:val="hybridMultilevel"/>
    <w:tmpl w:val="86281748"/>
    <w:lvl w:ilvl="0" w:tplc="5776C60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11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0"/>
  </w:num>
  <w:num w:numId="19">
    <w:abstractNumId w:val="15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E9"/>
    <w:rsid w:val="00011EF2"/>
    <w:rsid w:val="000928DC"/>
    <w:rsid w:val="000A28F8"/>
    <w:rsid w:val="00142F60"/>
    <w:rsid w:val="00166F1E"/>
    <w:rsid w:val="001C5EA6"/>
    <w:rsid w:val="001E0280"/>
    <w:rsid w:val="001F0E57"/>
    <w:rsid w:val="001F5D01"/>
    <w:rsid w:val="002472D6"/>
    <w:rsid w:val="002F5DE9"/>
    <w:rsid w:val="002F6C6E"/>
    <w:rsid w:val="00353A42"/>
    <w:rsid w:val="003B56C1"/>
    <w:rsid w:val="004168E9"/>
    <w:rsid w:val="00486E42"/>
    <w:rsid w:val="004928D1"/>
    <w:rsid w:val="004D02C4"/>
    <w:rsid w:val="00572A69"/>
    <w:rsid w:val="005E7285"/>
    <w:rsid w:val="00637276"/>
    <w:rsid w:val="00645824"/>
    <w:rsid w:val="006A3138"/>
    <w:rsid w:val="007777D5"/>
    <w:rsid w:val="007A77F2"/>
    <w:rsid w:val="007B4B68"/>
    <w:rsid w:val="007C42E0"/>
    <w:rsid w:val="0081544E"/>
    <w:rsid w:val="00820328"/>
    <w:rsid w:val="00827268"/>
    <w:rsid w:val="00841BBF"/>
    <w:rsid w:val="008A6D49"/>
    <w:rsid w:val="009115D4"/>
    <w:rsid w:val="0092449A"/>
    <w:rsid w:val="009B739E"/>
    <w:rsid w:val="009D2D74"/>
    <w:rsid w:val="00A73942"/>
    <w:rsid w:val="00B3167E"/>
    <w:rsid w:val="00BB108A"/>
    <w:rsid w:val="00CB5EC7"/>
    <w:rsid w:val="00CC423B"/>
    <w:rsid w:val="00D9670E"/>
    <w:rsid w:val="00DE0F61"/>
    <w:rsid w:val="00DF52A6"/>
    <w:rsid w:val="00E36AE4"/>
    <w:rsid w:val="00E371A2"/>
    <w:rsid w:val="00EE30A9"/>
    <w:rsid w:val="00F23E33"/>
    <w:rsid w:val="00FA73FB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13EA"/>
  <w15:chartTrackingRefBased/>
  <w15:docId w15:val="{3D66887E-98C2-40BF-BEC1-2675B3A2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A6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2A6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DF52A6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DF52A6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DF52A6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F52A6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F52A6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DF52A6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DF52A6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DF52A6"/>
    <w:pPr>
      <w:outlineLvl w:val="2"/>
    </w:pPr>
  </w:style>
  <w:style w:type="paragraph" w:customStyle="1" w:styleId="TableBlock">
    <w:name w:val="Table Block"/>
    <w:basedOn w:val="TableText"/>
    <w:rsid w:val="00DF52A6"/>
    <w:pPr>
      <w:jc w:val="both"/>
    </w:pPr>
  </w:style>
  <w:style w:type="paragraph" w:customStyle="1" w:styleId="TableHead">
    <w:name w:val="Table Head"/>
    <w:basedOn w:val="TableText"/>
    <w:rsid w:val="00DF52A6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DF52A6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DF52A6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DF52A6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DF52A6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DF52A6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DF52A6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DF52A6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DF52A6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DF52A6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2F5DE9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DF52A6"/>
    <w:pPr>
      <w:outlineLvl w:val="9"/>
    </w:pPr>
  </w:style>
  <w:style w:type="paragraph" w:customStyle="1" w:styleId="Hesber">
    <w:name w:val="Hesber"/>
    <w:basedOn w:val="a"/>
    <w:rsid w:val="00DF52A6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DF52A6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2F5DE9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"/>
    <w:basedOn w:val="a0"/>
    <w:semiHidden/>
    <w:rsid w:val="00DF52A6"/>
    <w:rPr>
      <w:vertAlign w:val="superscript"/>
    </w:rPr>
  </w:style>
  <w:style w:type="paragraph" w:customStyle="1" w:styleId="HesberHeading">
    <w:name w:val="Hesber Heading"/>
    <w:basedOn w:val="Hesber"/>
    <w:rsid w:val="00DF52A6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DF52A6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DF52A6"/>
    <w:rPr>
      <w:vertAlign w:val="superscript"/>
    </w:rPr>
  </w:style>
  <w:style w:type="paragraph" w:customStyle="1" w:styleId="TableBlockOutdent">
    <w:name w:val="Table BlockOutdent"/>
    <w:basedOn w:val="TableBlock"/>
    <w:rsid w:val="00DF52A6"/>
    <w:pPr>
      <w:ind w:left="624" w:hanging="624"/>
    </w:pPr>
  </w:style>
  <w:style w:type="paragraph" w:styleId="a9">
    <w:name w:val="header"/>
    <w:basedOn w:val="a"/>
    <w:link w:val="aa"/>
    <w:rsid w:val="00DF52A6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2F5DE9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DF52A6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2F5DE9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DF52A6"/>
  </w:style>
  <w:style w:type="paragraph" w:customStyle="1" w:styleId="Cover1-Reshumot">
    <w:name w:val="Cover 1-Reshumot"/>
    <w:basedOn w:val="a"/>
    <w:rsid w:val="00DF52A6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DF52A6"/>
    <w:rPr>
      <w:sz w:val="36"/>
      <w:szCs w:val="52"/>
    </w:rPr>
  </w:style>
  <w:style w:type="paragraph" w:customStyle="1" w:styleId="Cover3-Haknesset">
    <w:name w:val="Cover 3-Haknesset"/>
    <w:basedOn w:val="Cover1-Reshumot"/>
    <w:rsid w:val="00DF52A6"/>
    <w:rPr>
      <w:b/>
      <w:bCs/>
      <w:spacing w:val="60"/>
    </w:rPr>
  </w:style>
  <w:style w:type="paragraph" w:customStyle="1" w:styleId="Cover4-Date">
    <w:name w:val="Cover 4-Date"/>
    <w:basedOn w:val="a"/>
    <w:rsid w:val="00DF52A6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DF52A6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DF52A6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DF52A6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DF52A6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DF52A6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DF52A6"/>
    <w:pPr>
      <w:numPr>
        <w:numId w:val="19"/>
      </w:numPr>
      <w:tabs>
        <w:tab w:val="num" w:pos="360"/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DF52A6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DF52A6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DF52A6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DF52A6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DF52A6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DF52A6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DF52A6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DF52A6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DF52A6"/>
    <w:rPr>
      <w:rFonts w:eastAsia="Times New Roman"/>
    </w:rPr>
  </w:style>
  <w:style w:type="paragraph" w:styleId="af">
    <w:name w:val="List Paragraph"/>
    <w:basedOn w:val="a"/>
    <w:uiPriority w:val="34"/>
    <w:qFormat/>
    <w:rsid w:val="00DF52A6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DF52A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DF52A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DF52A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DF52A6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DF52A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character" w:styleId="af2">
    <w:name w:val="annotation reference"/>
    <w:basedOn w:val="a0"/>
    <w:uiPriority w:val="99"/>
    <w:semiHidden/>
    <w:unhideWhenUsed/>
    <w:rsid w:val="005E728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E7285"/>
    <w:pPr>
      <w:spacing w:line="240" w:lineRule="auto"/>
    </w:pPr>
    <w:rPr>
      <w:sz w:val="20"/>
      <w:szCs w:val="20"/>
    </w:rPr>
  </w:style>
  <w:style w:type="character" w:customStyle="1" w:styleId="af4">
    <w:name w:val="טקסט הערה תו"/>
    <w:basedOn w:val="a0"/>
    <w:link w:val="af3"/>
    <w:uiPriority w:val="99"/>
    <w:semiHidden/>
    <w:rsid w:val="005E7285"/>
    <w:rPr>
      <w:rFonts w:ascii="David" w:hAnsi="David" w:cs="David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E7285"/>
    <w:rPr>
      <w:b/>
      <w:bCs/>
    </w:rPr>
  </w:style>
  <w:style w:type="character" w:customStyle="1" w:styleId="af6">
    <w:name w:val="נושא הערה תו"/>
    <w:basedOn w:val="af4"/>
    <w:link w:val="af5"/>
    <w:uiPriority w:val="99"/>
    <w:semiHidden/>
    <w:rsid w:val="005E7285"/>
    <w:rPr>
      <w:rFonts w:ascii="David" w:hAnsi="David" w:cs="David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5E728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5E728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_rels/footnotes.xml.rels>&#65279;<?xml version="1.0" encoding="utf-8" standalone="yes"?>
<Relationships xmlns="http://schemas.openxmlformats.org/package/2006/relationships"><Relationship Id="rId2" Type="http://schemas.openxmlformats.org/officeDocument/2006/relationships/hyperlink" Target="#" TargetMode="External" /><Relationship Id="rId1" Type="http://schemas.openxmlformats.org/officeDocument/2006/relationships/hyperlink" Target="#" TargetMode="Externa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4690</Characters>
  <Application>Microsoft Office Word</Application>
  <DocSecurity>4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MOC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רועי ברית</dc:creator>
  <cp:keywords/>
  <dc:description/>
  <cp:lastModifiedBy>רותם ספיר-יעקבס</cp:lastModifiedBy>
  <cp:revision>2</cp:revision>
  <dcterms:created xsi:type="dcterms:W3CDTF">2024-03-19T10:26:00Z</dcterms:created>
  <dcterms:modified xsi:type="dcterms:W3CDTF">2024-03-19T10:26:00Z</dcterms:modified>
</cp:coreProperties>
</file>