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1407" w14:textId="77777777" w:rsidR="00DD1BC1" w:rsidRDefault="00DD1BC1" w:rsidP="005F0271">
      <w:pPr>
        <w:jc w:val="center"/>
        <w:rPr>
          <w:b/>
          <w:bCs/>
          <w:sz w:val="26"/>
          <w:szCs w:val="26"/>
          <w:rtl/>
        </w:rPr>
      </w:pPr>
      <w:bookmarkStart w:id="0" w:name="_Toc120716143"/>
      <w:bookmarkStart w:id="1" w:name="_Toc120716154"/>
      <w:bookmarkStart w:id="2" w:name="_Toc121658619"/>
      <w:bookmarkStart w:id="3" w:name="_Toc121658632"/>
      <w:bookmarkStart w:id="4" w:name="_GoBack"/>
      <w:bookmarkEnd w:id="4"/>
      <w:r>
        <w:rPr>
          <w:noProof/>
        </w:rPr>
        <w:drawing>
          <wp:inline distT="0" distB="0" distL="0" distR="0" wp14:anchorId="6EECE47D" wp14:editId="1106705F">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5E4E0F68" w14:textId="77777777" w:rsidR="00DD1BC1" w:rsidRDefault="00DD1BC1" w:rsidP="005F0271">
      <w:pPr>
        <w:rPr>
          <w:b/>
          <w:bCs/>
          <w:sz w:val="26"/>
          <w:szCs w:val="26"/>
          <w:rtl/>
        </w:rPr>
      </w:pPr>
      <w:r w:rsidRPr="00CB5068">
        <w:rPr>
          <w:b/>
          <w:bCs/>
          <w:sz w:val="26"/>
          <w:szCs w:val="26"/>
          <w:rtl/>
        </w:rPr>
        <w:t>תוכן עניינים</w:t>
      </w:r>
    </w:p>
    <w:p w14:paraId="551A3312" w14:textId="0A154472" w:rsidR="00DD1BC1" w:rsidRDefault="00DD1BC1" w:rsidP="00DD1BC1">
      <w:pPr>
        <w:pStyle w:val="TOC1"/>
        <w:rPr>
          <w:rFonts w:asciiTheme="minorHAnsi" w:eastAsiaTheme="minorEastAsia" w:hAnsiTheme="minorHAnsi" w:cstheme="minorBidi"/>
          <w:bCs w:val="0"/>
          <w:noProof/>
          <w:sz w:val="22"/>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127353456" w:history="1">
        <w:r w:rsidRPr="00B718D1">
          <w:rPr>
            <w:rStyle w:val="Hyperlink"/>
            <w:noProof/>
            <w:rtl/>
          </w:rPr>
          <w:t>טיוטת צו</w:t>
        </w:r>
        <w:r>
          <w:rPr>
            <w:noProof/>
            <w:webHidden/>
          </w:rPr>
          <w:tab/>
        </w:r>
        <w:r>
          <w:rPr>
            <w:noProof/>
            <w:webHidden/>
          </w:rPr>
          <w:fldChar w:fldCharType="begin"/>
        </w:r>
        <w:r>
          <w:rPr>
            <w:noProof/>
            <w:webHidden/>
          </w:rPr>
          <w:instrText xml:space="preserve"> PAGEREF _Toc127353456 \h </w:instrText>
        </w:r>
        <w:r>
          <w:rPr>
            <w:noProof/>
            <w:webHidden/>
          </w:rPr>
        </w:r>
        <w:r>
          <w:rPr>
            <w:noProof/>
            <w:webHidden/>
          </w:rPr>
          <w:fldChar w:fldCharType="separate"/>
        </w:r>
        <w:r>
          <w:rPr>
            <w:noProof/>
            <w:webHidden/>
          </w:rPr>
          <w:t>2</w:t>
        </w:r>
        <w:r>
          <w:rPr>
            <w:noProof/>
            <w:webHidden/>
          </w:rPr>
          <w:fldChar w:fldCharType="end"/>
        </w:r>
      </w:hyperlink>
    </w:p>
    <w:p w14:paraId="69260C8F" w14:textId="7143AF87" w:rsidR="00DD1BC1" w:rsidRDefault="00913CE0" w:rsidP="00DD1BC1">
      <w:pPr>
        <w:pStyle w:val="TOC4"/>
        <w:rPr>
          <w:rFonts w:cstheme="minorBidi"/>
        </w:rPr>
      </w:pPr>
      <w:hyperlink w:anchor="_Toc127353457" w:history="1">
        <w:r w:rsidR="00DD1BC1" w:rsidRPr="00B718D1">
          <w:rPr>
            <w:rStyle w:val="Hyperlink"/>
            <w:rtl/>
          </w:rPr>
          <w:t>א. שם הצו המוצע</w:t>
        </w:r>
        <w:r w:rsidR="00DD1BC1">
          <w:rPr>
            <w:webHidden/>
          </w:rPr>
          <w:tab/>
        </w:r>
        <w:r w:rsidR="00DD1BC1">
          <w:rPr>
            <w:webHidden/>
          </w:rPr>
          <w:fldChar w:fldCharType="begin"/>
        </w:r>
        <w:r w:rsidR="00DD1BC1">
          <w:rPr>
            <w:webHidden/>
          </w:rPr>
          <w:instrText xml:space="preserve"> PAGEREF _Toc127353457 \h </w:instrText>
        </w:r>
        <w:r w:rsidR="00DD1BC1">
          <w:rPr>
            <w:webHidden/>
          </w:rPr>
        </w:r>
        <w:r w:rsidR="00DD1BC1">
          <w:rPr>
            <w:webHidden/>
          </w:rPr>
          <w:fldChar w:fldCharType="separate"/>
        </w:r>
        <w:r w:rsidR="00DD1BC1">
          <w:rPr>
            <w:webHidden/>
          </w:rPr>
          <w:t>2</w:t>
        </w:r>
        <w:r w:rsidR="00DD1BC1">
          <w:rPr>
            <w:webHidden/>
          </w:rPr>
          <w:fldChar w:fldCharType="end"/>
        </w:r>
      </w:hyperlink>
    </w:p>
    <w:p w14:paraId="73BCADAD" w14:textId="371BA72C" w:rsidR="00DD1BC1" w:rsidRDefault="00913CE0" w:rsidP="00DD1BC1">
      <w:pPr>
        <w:pStyle w:val="TOC4"/>
        <w:rPr>
          <w:rFonts w:cstheme="minorBidi"/>
        </w:rPr>
      </w:pPr>
      <w:hyperlink w:anchor="_Toc127353458" w:history="1">
        <w:r w:rsidR="00DD1BC1" w:rsidRPr="00B718D1">
          <w:rPr>
            <w:rStyle w:val="Hyperlink"/>
            <w:rtl/>
          </w:rPr>
          <w:t>ב. מטרת הצו המוצע והצורך בו</w:t>
        </w:r>
        <w:r w:rsidR="00DD1BC1">
          <w:rPr>
            <w:webHidden/>
          </w:rPr>
          <w:tab/>
        </w:r>
        <w:r w:rsidR="00DD1BC1">
          <w:rPr>
            <w:webHidden/>
          </w:rPr>
          <w:fldChar w:fldCharType="begin"/>
        </w:r>
        <w:r w:rsidR="00DD1BC1">
          <w:rPr>
            <w:webHidden/>
          </w:rPr>
          <w:instrText xml:space="preserve"> PAGEREF _Toc127353458 \h </w:instrText>
        </w:r>
        <w:r w:rsidR="00DD1BC1">
          <w:rPr>
            <w:webHidden/>
          </w:rPr>
        </w:r>
        <w:r w:rsidR="00DD1BC1">
          <w:rPr>
            <w:webHidden/>
          </w:rPr>
          <w:fldChar w:fldCharType="separate"/>
        </w:r>
        <w:r w:rsidR="00DD1BC1">
          <w:rPr>
            <w:webHidden/>
          </w:rPr>
          <w:t>2</w:t>
        </w:r>
        <w:r w:rsidR="00DD1BC1">
          <w:rPr>
            <w:webHidden/>
          </w:rPr>
          <w:fldChar w:fldCharType="end"/>
        </w:r>
      </w:hyperlink>
    </w:p>
    <w:p w14:paraId="2EC6BDE2" w14:textId="241B81BF" w:rsidR="00DD1BC1" w:rsidRDefault="00DD1BC1" w:rsidP="00DD1BC1">
      <w:pPr>
        <w:pStyle w:val="TOC4"/>
        <w:rPr>
          <w:rFonts w:cstheme="minorBidi"/>
        </w:rPr>
      </w:pPr>
      <w:hyperlink w:anchor="_Toc127353464" w:history="1">
        <w:r w:rsidRPr="00B718D1">
          <w:rPr>
            <w:rStyle w:val="Hyperlink"/>
            <w:rtl/>
          </w:rPr>
          <w:t>ג. להלן נוסח טיוטת הצו המוצע:</w:t>
        </w:r>
        <w:r>
          <w:rPr>
            <w:webHidden/>
          </w:rPr>
          <w:tab/>
        </w:r>
        <w:r>
          <w:rPr>
            <w:webHidden/>
          </w:rPr>
          <w:fldChar w:fldCharType="begin"/>
        </w:r>
        <w:r>
          <w:rPr>
            <w:webHidden/>
          </w:rPr>
          <w:instrText xml:space="preserve"> PAGEREF _Toc127353464 \h </w:instrText>
        </w:r>
        <w:r>
          <w:rPr>
            <w:webHidden/>
          </w:rPr>
        </w:r>
        <w:r>
          <w:rPr>
            <w:webHidden/>
          </w:rPr>
          <w:fldChar w:fldCharType="separate"/>
        </w:r>
        <w:r>
          <w:rPr>
            <w:webHidden/>
          </w:rPr>
          <w:t>2</w:t>
        </w:r>
        <w:r>
          <w:rPr>
            <w:webHidden/>
          </w:rPr>
          <w:fldChar w:fldCharType="end"/>
        </w:r>
      </w:hyperlink>
    </w:p>
    <w:p w14:paraId="196F430C" w14:textId="4D7CE241" w:rsidR="00DD1BC1" w:rsidRDefault="00913CE0" w:rsidP="00DD1BC1">
      <w:pPr>
        <w:pStyle w:val="TOC1"/>
        <w:rPr>
          <w:rFonts w:asciiTheme="minorHAnsi" w:eastAsiaTheme="minorEastAsia" w:hAnsiTheme="minorHAnsi" w:cstheme="minorBidi"/>
          <w:bCs w:val="0"/>
          <w:noProof/>
          <w:sz w:val="22"/>
        </w:rPr>
      </w:pPr>
      <w:hyperlink w:anchor="_Toc127353465" w:history="1">
        <w:r w:rsidR="00DD1BC1" w:rsidRPr="00B718D1">
          <w:rPr>
            <w:rStyle w:val="Hyperlink"/>
            <w:noProof/>
            <w:rtl/>
          </w:rPr>
          <w:t>טיוטת צו יבוא חופשי (תיקון מס' ...), התשפ"ג - 2023</w:t>
        </w:r>
        <w:r w:rsidR="00DD1BC1">
          <w:rPr>
            <w:noProof/>
            <w:webHidden/>
          </w:rPr>
          <w:tab/>
        </w:r>
        <w:r w:rsidR="00DD1BC1">
          <w:rPr>
            <w:noProof/>
            <w:webHidden/>
          </w:rPr>
          <w:fldChar w:fldCharType="begin"/>
        </w:r>
        <w:r w:rsidR="00DD1BC1">
          <w:rPr>
            <w:noProof/>
            <w:webHidden/>
          </w:rPr>
          <w:instrText xml:space="preserve"> PAGEREF _Toc127353465 \h </w:instrText>
        </w:r>
        <w:r w:rsidR="00DD1BC1">
          <w:rPr>
            <w:noProof/>
            <w:webHidden/>
          </w:rPr>
        </w:r>
        <w:r w:rsidR="00DD1BC1">
          <w:rPr>
            <w:noProof/>
            <w:webHidden/>
          </w:rPr>
          <w:fldChar w:fldCharType="separate"/>
        </w:r>
        <w:r w:rsidR="00DD1BC1">
          <w:rPr>
            <w:noProof/>
            <w:webHidden/>
          </w:rPr>
          <w:t>3</w:t>
        </w:r>
        <w:r w:rsidR="00DD1BC1">
          <w:rPr>
            <w:noProof/>
            <w:webHidden/>
          </w:rPr>
          <w:fldChar w:fldCharType="end"/>
        </w:r>
      </w:hyperlink>
    </w:p>
    <w:p w14:paraId="5C6BE2D2" w14:textId="70EDB63F" w:rsidR="00DD1BC1" w:rsidRDefault="00913CE0" w:rsidP="00DD1BC1">
      <w:pPr>
        <w:pStyle w:val="TOC3"/>
        <w:rPr>
          <w:rFonts w:asciiTheme="minorHAnsi" w:eastAsiaTheme="minorEastAsia" w:hAnsiTheme="minorHAnsi" w:cstheme="minorBidi"/>
          <w:noProof/>
          <w:sz w:val="22"/>
        </w:rPr>
      </w:pPr>
      <w:hyperlink w:anchor="_Toc127353466" w:history="1">
        <w:r w:rsidR="00DD1BC1" w:rsidRPr="00B718D1">
          <w:rPr>
            <w:rStyle w:val="Hyperlink"/>
            <w:noProof/>
            <w:rtl/>
          </w:rPr>
          <w:t>תיקון סעיף 1</w:t>
        </w:r>
        <w:r w:rsidR="00DD1BC1">
          <w:rPr>
            <w:noProof/>
            <w:webHidden/>
          </w:rPr>
          <w:tab/>
        </w:r>
        <w:r w:rsidR="00DD1BC1">
          <w:rPr>
            <w:noProof/>
            <w:webHidden/>
          </w:rPr>
          <w:fldChar w:fldCharType="begin"/>
        </w:r>
        <w:r w:rsidR="00DD1BC1">
          <w:rPr>
            <w:noProof/>
            <w:webHidden/>
          </w:rPr>
          <w:instrText xml:space="preserve"> PAGEREF _Toc127353466 \h </w:instrText>
        </w:r>
        <w:r w:rsidR="00DD1BC1">
          <w:rPr>
            <w:noProof/>
            <w:webHidden/>
          </w:rPr>
        </w:r>
        <w:r w:rsidR="00DD1BC1">
          <w:rPr>
            <w:noProof/>
            <w:webHidden/>
          </w:rPr>
          <w:fldChar w:fldCharType="separate"/>
        </w:r>
        <w:r w:rsidR="00DD1BC1">
          <w:rPr>
            <w:noProof/>
            <w:webHidden/>
          </w:rPr>
          <w:t>3</w:t>
        </w:r>
        <w:r w:rsidR="00DD1BC1">
          <w:rPr>
            <w:noProof/>
            <w:webHidden/>
          </w:rPr>
          <w:fldChar w:fldCharType="end"/>
        </w:r>
      </w:hyperlink>
    </w:p>
    <w:p w14:paraId="31E98CB9" w14:textId="20210273" w:rsidR="00DD1BC1" w:rsidRDefault="00913CE0" w:rsidP="00DD1BC1">
      <w:pPr>
        <w:pStyle w:val="TOC3"/>
        <w:rPr>
          <w:rFonts w:asciiTheme="minorHAnsi" w:eastAsiaTheme="minorEastAsia" w:hAnsiTheme="minorHAnsi" w:cstheme="minorBidi"/>
          <w:noProof/>
          <w:sz w:val="22"/>
        </w:rPr>
      </w:pPr>
      <w:hyperlink w:anchor="_Toc127353467" w:history="1">
        <w:r w:rsidR="00DD1BC1" w:rsidRPr="00B718D1">
          <w:rPr>
            <w:rStyle w:val="Hyperlink"/>
            <w:noProof/>
            <w:rtl/>
          </w:rPr>
          <w:t>תיקון התוספת השנייה</w:t>
        </w:r>
        <w:r w:rsidR="00DD1BC1">
          <w:rPr>
            <w:noProof/>
            <w:webHidden/>
          </w:rPr>
          <w:tab/>
        </w:r>
        <w:r w:rsidR="00DD1BC1">
          <w:rPr>
            <w:noProof/>
            <w:webHidden/>
          </w:rPr>
          <w:fldChar w:fldCharType="begin"/>
        </w:r>
        <w:r w:rsidR="00DD1BC1">
          <w:rPr>
            <w:noProof/>
            <w:webHidden/>
          </w:rPr>
          <w:instrText xml:space="preserve"> PAGEREF _Toc127353467 \h </w:instrText>
        </w:r>
        <w:r w:rsidR="00DD1BC1">
          <w:rPr>
            <w:noProof/>
            <w:webHidden/>
          </w:rPr>
        </w:r>
        <w:r w:rsidR="00DD1BC1">
          <w:rPr>
            <w:noProof/>
            <w:webHidden/>
          </w:rPr>
          <w:fldChar w:fldCharType="separate"/>
        </w:r>
        <w:r w:rsidR="00DD1BC1">
          <w:rPr>
            <w:noProof/>
            <w:webHidden/>
          </w:rPr>
          <w:t>3</w:t>
        </w:r>
        <w:r w:rsidR="00DD1BC1">
          <w:rPr>
            <w:noProof/>
            <w:webHidden/>
          </w:rPr>
          <w:fldChar w:fldCharType="end"/>
        </w:r>
      </w:hyperlink>
    </w:p>
    <w:p w14:paraId="67C86767" w14:textId="373163B9" w:rsidR="00DD1BC1" w:rsidRDefault="00913CE0" w:rsidP="00DD1BC1">
      <w:pPr>
        <w:pStyle w:val="TOC2"/>
        <w:rPr>
          <w:rFonts w:asciiTheme="minorHAnsi" w:eastAsiaTheme="minorEastAsia" w:hAnsiTheme="minorHAnsi" w:cstheme="minorBidi"/>
          <w:noProof/>
          <w:sz w:val="22"/>
        </w:rPr>
      </w:pPr>
      <w:hyperlink w:anchor="_Toc127353468" w:history="1">
        <w:r w:rsidR="00DD1BC1" w:rsidRPr="00B718D1">
          <w:rPr>
            <w:rStyle w:val="Hyperlink"/>
            <w:noProof/>
            <w:rtl/>
          </w:rPr>
          <w:t>דברי הסבר</w:t>
        </w:r>
        <w:r w:rsidR="00DD1BC1">
          <w:rPr>
            <w:noProof/>
            <w:webHidden/>
          </w:rPr>
          <w:tab/>
        </w:r>
        <w:r w:rsidR="00DD1BC1">
          <w:rPr>
            <w:noProof/>
            <w:webHidden/>
          </w:rPr>
          <w:fldChar w:fldCharType="begin"/>
        </w:r>
        <w:r w:rsidR="00DD1BC1">
          <w:rPr>
            <w:noProof/>
            <w:webHidden/>
          </w:rPr>
          <w:instrText xml:space="preserve"> PAGEREF _Toc127353468 \h </w:instrText>
        </w:r>
        <w:r w:rsidR="00DD1BC1">
          <w:rPr>
            <w:noProof/>
            <w:webHidden/>
          </w:rPr>
        </w:r>
        <w:r w:rsidR="00DD1BC1">
          <w:rPr>
            <w:noProof/>
            <w:webHidden/>
          </w:rPr>
          <w:fldChar w:fldCharType="separate"/>
        </w:r>
        <w:r w:rsidR="00DD1BC1">
          <w:rPr>
            <w:noProof/>
            <w:webHidden/>
          </w:rPr>
          <w:t>4</w:t>
        </w:r>
        <w:r w:rsidR="00DD1BC1">
          <w:rPr>
            <w:noProof/>
            <w:webHidden/>
          </w:rPr>
          <w:fldChar w:fldCharType="end"/>
        </w:r>
      </w:hyperlink>
    </w:p>
    <w:p w14:paraId="61ED7D4D" w14:textId="1B9C4545" w:rsidR="00DD1BC1" w:rsidRDefault="00DD1BC1" w:rsidP="00DD1BC1">
      <w:pPr>
        <w:rPr>
          <w:snapToGrid w:val="0"/>
          <w:rtl/>
        </w:rPr>
      </w:pPr>
      <w:r>
        <w:rPr>
          <w:rtl/>
        </w:rPr>
        <w:fldChar w:fldCharType="end"/>
      </w:r>
      <w:r>
        <w:rPr>
          <w:rtl/>
        </w:rPr>
        <w:br w:type="page"/>
      </w:r>
    </w:p>
    <w:p w14:paraId="072D2AF3" w14:textId="77777777" w:rsidR="00C91ED1" w:rsidRDefault="00C91ED1" w:rsidP="00307E94">
      <w:pPr>
        <w:pStyle w:val="1"/>
        <w:keepNext w:val="0"/>
        <w:keepLines w:val="0"/>
      </w:pPr>
      <w:bookmarkStart w:id="5" w:name="_Toc127353433"/>
      <w:bookmarkStart w:id="6" w:name="_Toc127353456"/>
      <w:r>
        <w:rPr>
          <w:rtl/>
        </w:rPr>
        <w:lastRenderedPageBreak/>
        <w:t>טיוטת צו</w:t>
      </w:r>
      <w:bookmarkEnd w:id="0"/>
      <w:bookmarkEnd w:id="1"/>
      <w:bookmarkEnd w:id="2"/>
      <w:bookmarkEnd w:id="3"/>
      <w:bookmarkEnd w:id="5"/>
      <w:bookmarkEnd w:id="6"/>
    </w:p>
    <w:p w14:paraId="6AD57076" w14:textId="77777777" w:rsidR="00C91ED1" w:rsidRDefault="00C91ED1" w:rsidP="00307E94">
      <w:pPr>
        <w:rPr>
          <w:rtl/>
        </w:rPr>
      </w:pPr>
    </w:p>
    <w:p w14:paraId="194843F3" w14:textId="77777777" w:rsidR="00C91ED1" w:rsidRDefault="00C91ED1" w:rsidP="00F24A78">
      <w:pPr>
        <w:pStyle w:val="4"/>
        <w:rPr>
          <w:rtl/>
        </w:rPr>
      </w:pPr>
      <w:bookmarkStart w:id="7" w:name="_Toc120716155"/>
      <w:bookmarkStart w:id="8" w:name="_Toc121658633"/>
      <w:bookmarkStart w:id="9" w:name="_Toc127353457"/>
      <w:r>
        <w:rPr>
          <w:rFonts w:hint="cs"/>
          <w:rtl/>
        </w:rPr>
        <w:t>שם הצו המוצע</w:t>
      </w:r>
      <w:bookmarkEnd w:id="7"/>
      <w:bookmarkEnd w:id="8"/>
      <w:bookmarkEnd w:id="9"/>
    </w:p>
    <w:p w14:paraId="0463761B" w14:textId="7F51E006" w:rsidR="00C91ED1" w:rsidRDefault="00C91ED1" w:rsidP="00DD1BC1">
      <w:r>
        <w:rPr>
          <w:rFonts w:hint="cs"/>
          <w:rtl/>
        </w:rPr>
        <w:t xml:space="preserve">צו יבוא חופשי (תיקון מס' ...), </w:t>
      </w:r>
      <w:proofErr w:type="spellStart"/>
      <w:r>
        <w:rPr>
          <w:rFonts w:hint="cs"/>
          <w:rtl/>
        </w:rPr>
        <w:t>התשפ"ג</w:t>
      </w:r>
      <w:proofErr w:type="spellEnd"/>
      <w:r>
        <w:rPr>
          <w:rFonts w:hint="cs"/>
          <w:rtl/>
        </w:rPr>
        <w:t xml:space="preserve"> - 202</w:t>
      </w:r>
      <w:r w:rsidR="00DD1BC1">
        <w:rPr>
          <w:rFonts w:hint="cs"/>
          <w:rtl/>
        </w:rPr>
        <w:t>3</w:t>
      </w:r>
    </w:p>
    <w:p w14:paraId="76B69F74" w14:textId="77777777" w:rsidR="00C91ED1" w:rsidRDefault="00C91ED1" w:rsidP="00307E94">
      <w:pPr>
        <w:rPr>
          <w:rtl/>
        </w:rPr>
      </w:pPr>
    </w:p>
    <w:p w14:paraId="57102771" w14:textId="77777777" w:rsidR="00C91ED1" w:rsidRDefault="00C91ED1" w:rsidP="00307E94">
      <w:pPr>
        <w:rPr>
          <w:rtl/>
        </w:rPr>
      </w:pPr>
    </w:p>
    <w:p w14:paraId="21C5EF19" w14:textId="77777777" w:rsidR="00C91ED1" w:rsidRDefault="00C91ED1" w:rsidP="00C91ED1">
      <w:pPr>
        <w:pStyle w:val="4"/>
        <w:rPr>
          <w:rtl/>
        </w:rPr>
      </w:pPr>
      <w:bookmarkStart w:id="10" w:name="_Toc120716156"/>
      <w:bookmarkStart w:id="11" w:name="_Toc121658634"/>
      <w:bookmarkStart w:id="12" w:name="_Toc127353458"/>
      <w:r>
        <w:rPr>
          <w:rFonts w:hint="cs"/>
          <w:rtl/>
        </w:rPr>
        <w:t>מטרת הצו המוצע והצורך בו</w:t>
      </w:r>
      <w:bookmarkEnd w:id="10"/>
      <w:bookmarkEnd w:id="11"/>
      <w:bookmarkEnd w:id="12"/>
      <w:r>
        <w:rPr>
          <w:rFonts w:hint="cs"/>
          <w:rtl/>
        </w:rPr>
        <w:t xml:space="preserve"> </w:t>
      </w:r>
    </w:p>
    <w:p w14:paraId="3A1210A6" w14:textId="3AA8AF11" w:rsidR="0011780C" w:rsidRDefault="0011780C" w:rsidP="00D700AF">
      <w:pPr>
        <w:pStyle w:val="4"/>
        <w:numPr>
          <w:ilvl w:val="0"/>
          <w:numId w:val="0"/>
        </w:numPr>
        <w:rPr>
          <w:b w:val="0"/>
          <w:bCs w:val="0"/>
          <w:color w:val="auto"/>
          <w:szCs w:val="24"/>
          <w:rtl/>
        </w:rPr>
      </w:pPr>
      <w:bookmarkStart w:id="13" w:name="_Toc127353459"/>
      <w:r w:rsidRPr="0011780C">
        <w:rPr>
          <w:b w:val="0"/>
          <w:bCs w:val="0"/>
          <w:color w:val="auto"/>
          <w:szCs w:val="24"/>
          <w:rtl/>
        </w:rPr>
        <w:t>ביום 18 בנובמבר 2021 פורסם חוק התכנית הכלכלית (תיקוני חקיקה ליישום המדיניות הכלכלית לשנות התקציב 2021 ו-2022), התשפ"ב-2021</w:t>
      </w:r>
      <w:bookmarkEnd w:id="13"/>
      <w:r w:rsidR="00D700AF">
        <w:rPr>
          <w:rFonts w:hint="cs"/>
          <w:b w:val="0"/>
          <w:bCs w:val="0"/>
          <w:color w:val="auto"/>
          <w:szCs w:val="24"/>
          <w:rtl/>
        </w:rPr>
        <w:t>.</w:t>
      </w:r>
    </w:p>
    <w:p w14:paraId="191D024D" w14:textId="6DFECC62" w:rsidR="0011780C" w:rsidRDefault="0011780C" w:rsidP="00D700AF">
      <w:pPr>
        <w:pStyle w:val="4"/>
        <w:numPr>
          <w:ilvl w:val="0"/>
          <w:numId w:val="0"/>
        </w:numPr>
        <w:rPr>
          <w:b w:val="0"/>
          <w:bCs w:val="0"/>
          <w:color w:val="auto"/>
          <w:szCs w:val="24"/>
          <w:rtl/>
        </w:rPr>
      </w:pPr>
      <w:bookmarkStart w:id="14" w:name="_Toc127353460"/>
      <w:r w:rsidRPr="0011780C">
        <w:rPr>
          <w:b w:val="0"/>
          <w:bCs w:val="0"/>
          <w:color w:val="auto"/>
          <w:szCs w:val="24"/>
          <w:rtl/>
        </w:rPr>
        <w:t>סעיף 104 לחוק המסמיך קובע סדרת תיקונים בפקודת הרוקחים [נוסח חדש], התשמ"א-1981 (להלן: "הפקודה"</w:t>
      </w:r>
      <w:r w:rsidR="00D700AF">
        <w:rPr>
          <w:rFonts w:hint="cs"/>
          <w:b w:val="0"/>
          <w:bCs w:val="0"/>
          <w:color w:val="auto"/>
          <w:szCs w:val="24"/>
          <w:rtl/>
        </w:rPr>
        <w:t xml:space="preserve">) </w:t>
      </w:r>
      <w:r w:rsidRPr="0011780C">
        <w:rPr>
          <w:b w:val="0"/>
          <w:bCs w:val="0"/>
          <w:color w:val="auto"/>
          <w:szCs w:val="24"/>
          <w:rtl/>
        </w:rPr>
        <w:t>שעניינם רפורמה בענף התמרוקים</w:t>
      </w:r>
      <w:r w:rsidR="00635C56">
        <w:rPr>
          <w:rFonts w:hint="cs"/>
          <w:b w:val="0"/>
          <w:bCs w:val="0"/>
          <w:color w:val="auto"/>
          <w:szCs w:val="24"/>
          <w:rtl/>
        </w:rPr>
        <w:t>, ה</w:t>
      </w:r>
      <w:r w:rsidRPr="0011780C">
        <w:rPr>
          <w:b w:val="0"/>
          <w:bCs w:val="0"/>
          <w:color w:val="auto"/>
          <w:szCs w:val="24"/>
          <w:rtl/>
        </w:rPr>
        <w:t>יוצרים שלושה מסלולים חלופיים לייבוא, ייצור ושיווק תמרוקים:</w:t>
      </w:r>
      <w:bookmarkEnd w:id="14"/>
    </w:p>
    <w:p w14:paraId="6FC2F6DA" w14:textId="5509155C" w:rsidR="0011780C" w:rsidRDefault="0011780C" w:rsidP="00DD1BC1">
      <w:pPr>
        <w:pStyle w:val="4"/>
        <w:numPr>
          <w:ilvl w:val="0"/>
          <w:numId w:val="0"/>
        </w:numPr>
        <w:rPr>
          <w:b w:val="0"/>
          <w:bCs w:val="0"/>
          <w:color w:val="auto"/>
          <w:szCs w:val="24"/>
          <w:rtl/>
        </w:rPr>
      </w:pPr>
      <w:bookmarkStart w:id="15" w:name="_Toc127353461"/>
      <w:r w:rsidRPr="0011780C">
        <w:rPr>
          <w:b w:val="0"/>
          <w:bCs w:val="0"/>
          <w:color w:val="auto"/>
          <w:szCs w:val="24"/>
          <w:rtl/>
        </w:rPr>
        <w:t>1.     המשך המצב הנהוג כיום – ייבוא, ייצור ושיווק תמרוקים ברישיון, בהתאם להוראות צו פיקוח על מצרכים ושירותים (תמרוקים), התשל"ג-1973</w:t>
      </w:r>
      <w:r w:rsidR="00915314">
        <w:rPr>
          <w:rFonts w:hint="cs"/>
          <w:b w:val="0"/>
          <w:bCs w:val="0"/>
          <w:color w:val="auto"/>
          <w:szCs w:val="24"/>
          <w:rtl/>
        </w:rPr>
        <w:t xml:space="preserve"> (להלן </w:t>
      </w:r>
      <w:r w:rsidR="00915314">
        <w:rPr>
          <w:b w:val="0"/>
          <w:bCs w:val="0"/>
          <w:color w:val="auto"/>
          <w:szCs w:val="24"/>
          <w:rtl/>
        </w:rPr>
        <w:t>–</w:t>
      </w:r>
      <w:r w:rsidR="00915314">
        <w:rPr>
          <w:rFonts w:hint="cs"/>
          <w:b w:val="0"/>
          <w:bCs w:val="0"/>
          <w:color w:val="auto"/>
          <w:szCs w:val="24"/>
          <w:rtl/>
        </w:rPr>
        <w:t xml:space="preserve"> "צו התמרוקים")</w:t>
      </w:r>
      <w:r w:rsidRPr="0011780C">
        <w:rPr>
          <w:b w:val="0"/>
          <w:bCs w:val="0"/>
          <w:color w:val="auto"/>
          <w:szCs w:val="24"/>
          <w:rtl/>
        </w:rPr>
        <w:t>.</w:t>
      </w:r>
      <w:bookmarkEnd w:id="15"/>
    </w:p>
    <w:p w14:paraId="79E6E9F6" w14:textId="58F951C6" w:rsidR="0011780C" w:rsidRPr="0011780C" w:rsidRDefault="0011780C" w:rsidP="00DD1BC1">
      <w:pPr>
        <w:pStyle w:val="4"/>
        <w:numPr>
          <w:ilvl w:val="0"/>
          <w:numId w:val="0"/>
        </w:numPr>
        <w:rPr>
          <w:b w:val="0"/>
          <w:bCs w:val="0"/>
          <w:color w:val="auto"/>
          <w:szCs w:val="24"/>
          <w:rtl/>
        </w:rPr>
      </w:pPr>
      <w:bookmarkStart w:id="16" w:name="_Toc127353462"/>
      <w:r w:rsidRPr="0011780C">
        <w:rPr>
          <w:b w:val="0"/>
          <w:bCs w:val="0"/>
          <w:color w:val="auto"/>
          <w:szCs w:val="24"/>
          <w:rtl/>
        </w:rPr>
        <w:t>2.     ייבוא, ייצור ושיווק תמרוקים, ללא רישיון, בכפוף לעמידה בדרישות הפקודה המנויות בסימן ב' לפרק ז'1 לפקודה.</w:t>
      </w:r>
      <w:bookmarkEnd w:id="16"/>
    </w:p>
    <w:p w14:paraId="58D1E5E3" w14:textId="482FEDAA" w:rsidR="00C91ED1" w:rsidRDefault="0011780C" w:rsidP="00C42C1E">
      <w:pPr>
        <w:pStyle w:val="4"/>
        <w:numPr>
          <w:ilvl w:val="0"/>
          <w:numId w:val="0"/>
        </w:numPr>
        <w:rPr>
          <w:rtl/>
        </w:rPr>
      </w:pPr>
      <w:bookmarkStart w:id="17" w:name="_Toc127353463"/>
      <w:r w:rsidRPr="0011780C">
        <w:rPr>
          <w:b w:val="0"/>
          <w:bCs w:val="0"/>
          <w:color w:val="auto"/>
          <w:szCs w:val="24"/>
          <w:rtl/>
        </w:rPr>
        <w:t>3.     ייבוא מקביל של תמרוקים, ללא רישיון וללא עמידה בסימן ב' כאמור, בכפוף לעמידה בהוראות שנקבעו בסימן ג' לפקודה</w:t>
      </w:r>
      <w:r>
        <w:rPr>
          <w:rFonts w:hint="cs"/>
          <w:b w:val="0"/>
          <w:bCs w:val="0"/>
          <w:color w:val="auto"/>
          <w:szCs w:val="24"/>
          <w:rtl/>
        </w:rPr>
        <w:t>.</w:t>
      </w:r>
      <w:bookmarkEnd w:id="17"/>
    </w:p>
    <w:p w14:paraId="10DB6EE7" w14:textId="48431084" w:rsidR="00915314" w:rsidRPr="00C42C1E" w:rsidRDefault="00915314" w:rsidP="00DD1BC1">
      <w:pPr>
        <w:ind w:left="49"/>
        <w:rPr>
          <w:rtl/>
        </w:rPr>
      </w:pPr>
      <w:r>
        <w:rPr>
          <w:rFonts w:hint="cs"/>
          <w:rtl/>
        </w:rPr>
        <w:t xml:space="preserve">כיום, תנאי ליבוא של כמה מוצרי תמרוקים בצו יבוא חופשי, </w:t>
      </w:r>
      <w:proofErr w:type="spellStart"/>
      <w:r>
        <w:rPr>
          <w:rFonts w:hint="cs"/>
          <w:rtl/>
        </w:rPr>
        <w:t>התשע"ד</w:t>
      </w:r>
      <w:proofErr w:type="spellEnd"/>
      <w:r>
        <w:rPr>
          <w:rFonts w:hint="cs"/>
          <w:rtl/>
        </w:rPr>
        <w:t xml:space="preserve"> </w:t>
      </w:r>
      <w:r>
        <w:rPr>
          <w:rtl/>
        </w:rPr>
        <w:t>–</w:t>
      </w:r>
      <w:r>
        <w:rPr>
          <w:rFonts w:hint="cs"/>
          <w:rtl/>
        </w:rPr>
        <w:t xml:space="preserve"> 2014, הינו הצגת רישיון לתמרוק לפי צו התמרוקים. מאחר ובעקבות כניסתה לתוקף של הרפורמה האמורה, ניתן יהיה לייבא תמרוקים גם שלא בהתאם להוראות צו התמרוקים, וזאת בהתאם לתנאיהם של שני המסלולים הנוספים החלופיים ליבוא, מוצע לשנות את התנאי האמור. מוצע, כי במקום "רישיון </w:t>
      </w:r>
      <w:r w:rsidR="00A61623">
        <w:rPr>
          <w:rFonts w:hint="cs"/>
          <w:rtl/>
        </w:rPr>
        <w:t xml:space="preserve">לתמרוק פלוני לפי צו התמרוקים", יקבע כי תנאי ליבוא הטובין הינו </w:t>
      </w:r>
      <w:r w:rsidR="007C53BD">
        <w:rPr>
          <w:rFonts w:hint="cs"/>
          <w:rtl/>
        </w:rPr>
        <w:t xml:space="preserve">אישור </w:t>
      </w:r>
      <w:r w:rsidR="00DD1BC1">
        <w:rPr>
          <w:rFonts w:hint="cs"/>
          <w:rtl/>
        </w:rPr>
        <w:t xml:space="preserve">או </w:t>
      </w:r>
      <w:proofErr w:type="spellStart"/>
      <w:r w:rsidR="00DD1BC1">
        <w:rPr>
          <w:rFonts w:hint="cs"/>
          <w:rtl/>
        </w:rPr>
        <w:t>רשיון</w:t>
      </w:r>
      <w:proofErr w:type="spellEnd"/>
      <w:r w:rsidR="00DD1BC1">
        <w:rPr>
          <w:rFonts w:hint="cs"/>
          <w:rtl/>
        </w:rPr>
        <w:t xml:space="preserve"> תמרוק מ</w:t>
      </w:r>
      <w:r w:rsidR="007C53BD">
        <w:rPr>
          <w:rFonts w:hint="cs"/>
          <w:rtl/>
        </w:rPr>
        <w:t xml:space="preserve">מחלקת תמרוקים במשרד הבריאות, כאשר האישור האמור יכול ויינתן בהתאם לכל אחד משלושת המסלולים המפורטים לעיל. </w:t>
      </w:r>
    </w:p>
    <w:p w14:paraId="076D1214" w14:textId="77777777" w:rsidR="00C91ED1" w:rsidRDefault="00C91ED1" w:rsidP="00307E94">
      <w:pPr>
        <w:rPr>
          <w:rtl/>
        </w:rPr>
      </w:pPr>
    </w:p>
    <w:p w14:paraId="7E5B5038" w14:textId="77777777" w:rsidR="00C91ED1" w:rsidRDefault="00C91ED1" w:rsidP="00F24A78">
      <w:pPr>
        <w:pStyle w:val="4"/>
        <w:rPr>
          <w:rtl/>
        </w:rPr>
      </w:pPr>
      <w:bookmarkStart w:id="18" w:name="_Toc120716157"/>
      <w:bookmarkStart w:id="19" w:name="_Toc121658635"/>
      <w:bookmarkStart w:id="20" w:name="_Toc127353464"/>
      <w:r>
        <w:rPr>
          <w:rFonts w:hint="cs"/>
          <w:rtl/>
        </w:rPr>
        <w:t>להלן נוסח טיוטת הצו המוצע:</w:t>
      </w:r>
      <w:bookmarkEnd w:id="18"/>
      <w:bookmarkEnd w:id="19"/>
      <w:bookmarkEnd w:id="20"/>
      <w:r>
        <w:rPr>
          <w:rFonts w:hint="cs"/>
          <w:rtl/>
        </w:rPr>
        <w:t xml:space="preserve"> </w:t>
      </w:r>
    </w:p>
    <w:p w14:paraId="10217513" w14:textId="77777777" w:rsidR="00C91ED1" w:rsidRDefault="00C91ED1" w:rsidP="00307E94">
      <w:pPr>
        <w:bidi w:val="0"/>
        <w:rPr>
          <w:rtl/>
        </w:rPr>
      </w:pPr>
      <w:r>
        <w:rPr>
          <w:rtl/>
        </w:rPr>
        <w:br w:type="page"/>
      </w:r>
    </w:p>
    <w:p w14:paraId="6E950FC6" w14:textId="77777777" w:rsidR="00C91ED1" w:rsidRDefault="00C91ED1" w:rsidP="004248AD">
      <w:pPr>
        <w:pStyle w:val="HeadMitparsemetBaze"/>
        <w:keepNext w:val="0"/>
        <w:keepLines w:val="0"/>
        <w:pageBreakBefore w:val="0"/>
        <w:rPr>
          <w:rtl/>
        </w:rPr>
      </w:pPr>
      <w:r>
        <w:rPr>
          <w:rtl/>
        </w:rPr>
        <w:lastRenderedPageBreak/>
        <w:t>טיוטת צו מטעם משרד</w:t>
      </w:r>
      <w:r>
        <w:rPr>
          <w:rFonts w:hint="cs"/>
          <w:rtl/>
        </w:rPr>
        <w:t xml:space="preserve"> הכלכלה והתעשייה</w:t>
      </w:r>
      <w:r>
        <w:rPr>
          <w:rtl/>
        </w:rPr>
        <w:t xml:space="preserve">: </w:t>
      </w:r>
    </w:p>
    <w:p w14:paraId="678B0FC5" w14:textId="7C34069D" w:rsidR="00C91ED1" w:rsidRDefault="00C91ED1" w:rsidP="00C91ED1">
      <w:pPr>
        <w:pStyle w:val="HeadHatzaotHok"/>
        <w:keepNext w:val="0"/>
        <w:keepLines w:val="0"/>
        <w:rPr>
          <w:rtl/>
        </w:rPr>
      </w:pPr>
      <w:bookmarkStart w:id="21" w:name="_Toc114058516"/>
      <w:bookmarkStart w:id="22" w:name="_Toc114058532"/>
      <w:bookmarkStart w:id="23" w:name="_Toc120716144"/>
      <w:bookmarkStart w:id="24" w:name="_Toc120716158"/>
      <w:bookmarkStart w:id="25" w:name="_Toc121658620"/>
      <w:bookmarkStart w:id="26" w:name="_Toc121658636"/>
      <w:bookmarkStart w:id="27" w:name="_Toc127353434"/>
      <w:bookmarkStart w:id="28" w:name="_Toc127353465"/>
      <w:r>
        <w:rPr>
          <w:rtl/>
        </w:rPr>
        <w:t xml:space="preserve">טיוטת צו </w:t>
      </w:r>
      <w:r>
        <w:rPr>
          <w:rFonts w:hint="cs"/>
          <w:rtl/>
        </w:rPr>
        <w:t>יבוא חופשי</w:t>
      </w:r>
      <w:r>
        <w:rPr>
          <w:rtl/>
        </w:rPr>
        <w:t xml:space="preserve"> (תיקון מס'</w:t>
      </w:r>
      <w:r>
        <w:rPr>
          <w:rFonts w:hint="cs"/>
          <w:rtl/>
        </w:rPr>
        <w:t xml:space="preserve"> ...</w:t>
      </w:r>
      <w:r>
        <w:rPr>
          <w:rtl/>
        </w:rPr>
        <w:t>)</w:t>
      </w:r>
      <w:r>
        <w:rPr>
          <w:rFonts w:hint="cs"/>
          <w:rtl/>
        </w:rPr>
        <w:t xml:space="preserve">, </w:t>
      </w:r>
      <w:proofErr w:type="spellStart"/>
      <w:r>
        <w:rPr>
          <w:rFonts w:hint="cs"/>
          <w:rtl/>
        </w:rPr>
        <w:t>התשפ"ג</w:t>
      </w:r>
      <w:proofErr w:type="spellEnd"/>
      <w:r>
        <w:rPr>
          <w:rFonts w:hint="cs"/>
          <w:rtl/>
        </w:rPr>
        <w:t xml:space="preserve"> - 202</w:t>
      </w:r>
      <w:bookmarkEnd w:id="21"/>
      <w:bookmarkEnd w:id="22"/>
      <w:bookmarkEnd w:id="23"/>
      <w:bookmarkEnd w:id="24"/>
      <w:bookmarkEnd w:id="25"/>
      <w:bookmarkEnd w:id="26"/>
      <w:r w:rsidR="00DD1BC1">
        <w:rPr>
          <w:rFonts w:hint="cs"/>
          <w:rtl/>
        </w:rPr>
        <w:t>3</w:t>
      </w:r>
      <w:bookmarkEnd w:id="27"/>
      <w:bookmarkEnd w:id="28"/>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C91ED1" w14:paraId="7F7B914A" w14:textId="77777777" w:rsidTr="00144D6D">
        <w:trPr>
          <w:cantSplit/>
          <w:trHeight w:val="60"/>
        </w:trPr>
        <w:tc>
          <w:tcPr>
            <w:tcW w:w="1871" w:type="dxa"/>
          </w:tcPr>
          <w:p w14:paraId="5CE8E7AF" w14:textId="77777777" w:rsidR="00C91ED1" w:rsidRDefault="00C91ED1">
            <w:pPr>
              <w:pStyle w:val="TableSideHeading"/>
              <w:rPr>
                <w:rtl/>
              </w:rPr>
            </w:pPr>
          </w:p>
        </w:tc>
        <w:tc>
          <w:tcPr>
            <w:tcW w:w="624" w:type="dxa"/>
          </w:tcPr>
          <w:p w14:paraId="6E0D0CB9" w14:textId="77777777" w:rsidR="00C91ED1" w:rsidRDefault="00C91ED1">
            <w:pPr>
              <w:pStyle w:val="TableText"/>
            </w:pPr>
          </w:p>
        </w:tc>
        <w:tc>
          <w:tcPr>
            <w:tcW w:w="7146" w:type="dxa"/>
            <w:gridSpan w:val="2"/>
            <w:hideMark/>
          </w:tcPr>
          <w:p w14:paraId="05AE017B" w14:textId="77777777" w:rsidR="00C91ED1" w:rsidRDefault="00C91ED1">
            <w:pPr>
              <w:pStyle w:val="TableBlock"/>
            </w:pPr>
            <w:bookmarkStart w:id="29" w:name="_Toc39391316"/>
            <w:bookmarkStart w:id="30" w:name="_Toc55819463"/>
            <w:bookmarkStart w:id="31" w:name="_Toc55819483"/>
            <w:bookmarkStart w:id="32" w:name="_Toc59550345"/>
            <w:bookmarkStart w:id="33" w:name="_Toc59550361"/>
            <w:r w:rsidRPr="0041614E">
              <w:rPr>
                <w:rFonts w:hint="cs"/>
                <w:sz w:val="26"/>
                <w:rtl/>
              </w:rPr>
              <w:t xml:space="preserve">בתוקף סמכותי לפי סעיף 2 לפקודת היבוא והיצוא [נוסח חדש], </w:t>
            </w:r>
            <w:proofErr w:type="spellStart"/>
            <w:r w:rsidRPr="0041614E">
              <w:rPr>
                <w:rFonts w:hint="cs"/>
                <w:sz w:val="26"/>
                <w:rtl/>
              </w:rPr>
              <w:t>התשל"ט</w:t>
            </w:r>
            <w:proofErr w:type="spellEnd"/>
            <w:r w:rsidRPr="0041614E">
              <w:rPr>
                <w:rFonts w:hint="eastAsia"/>
                <w:sz w:val="26"/>
                <w:rtl/>
              </w:rPr>
              <w:t>–</w:t>
            </w:r>
            <w:r w:rsidRPr="0041614E">
              <w:rPr>
                <w:rFonts w:hint="cs"/>
                <w:sz w:val="26"/>
                <w:rtl/>
              </w:rPr>
              <w:t>1979</w:t>
            </w:r>
            <w:r>
              <w:rPr>
                <w:rStyle w:val="a7"/>
                <w:sz w:val="26"/>
                <w:rtl/>
              </w:rPr>
              <w:footnoteReference w:id="1"/>
            </w:r>
            <w:r w:rsidRPr="0041614E">
              <w:rPr>
                <w:rFonts w:hint="cs"/>
                <w:sz w:val="26"/>
                <w:rtl/>
              </w:rPr>
              <w:t>, אני מצווה לאמור:</w:t>
            </w:r>
            <w:bookmarkEnd w:id="29"/>
            <w:bookmarkEnd w:id="30"/>
            <w:bookmarkEnd w:id="31"/>
            <w:bookmarkEnd w:id="32"/>
            <w:bookmarkEnd w:id="33"/>
          </w:p>
        </w:tc>
      </w:tr>
      <w:tr w:rsidR="00C91ED1" w14:paraId="79FC3577" w14:textId="77777777" w:rsidTr="00144D6D">
        <w:trPr>
          <w:cantSplit/>
          <w:trHeight w:val="60"/>
        </w:trPr>
        <w:tc>
          <w:tcPr>
            <w:tcW w:w="1871" w:type="dxa"/>
          </w:tcPr>
          <w:p w14:paraId="4281BA45" w14:textId="77777777" w:rsidR="00C91ED1" w:rsidRDefault="00C91ED1">
            <w:pPr>
              <w:pStyle w:val="TableSideHeading"/>
            </w:pPr>
          </w:p>
        </w:tc>
        <w:tc>
          <w:tcPr>
            <w:tcW w:w="624" w:type="dxa"/>
          </w:tcPr>
          <w:p w14:paraId="05D3C29C" w14:textId="77777777" w:rsidR="00C91ED1" w:rsidRDefault="00C91ED1">
            <w:pPr>
              <w:pStyle w:val="TableText"/>
            </w:pPr>
          </w:p>
        </w:tc>
        <w:tc>
          <w:tcPr>
            <w:tcW w:w="7146" w:type="dxa"/>
            <w:gridSpan w:val="2"/>
          </w:tcPr>
          <w:p w14:paraId="27DD9079" w14:textId="77777777" w:rsidR="00C91ED1" w:rsidRDefault="00C91ED1">
            <w:pPr>
              <w:pStyle w:val="TableHead"/>
            </w:pPr>
          </w:p>
        </w:tc>
      </w:tr>
      <w:tr w:rsidR="00144D6D" w14:paraId="0212904A" w14:textId="77777777" w:rsidTr="00144D6D">
        <w:trPr>
          <w:cantSplit/>
          <w:trHeight w:val="60"/>
        </w:trPr>
        <w:tc>
          <w:tcPr>
            <w:tcW w:w="1871" w:type="dxa"/>
          </w:tcPr>
          <w:p w14:paraId="5B9C0952" w14:textId="77777777" w:rsidR="00144D6D" w:rsidRDefault="00144D6D" w:rsidP="00144D6D">
            <w:pPr>
              <w:pStyle w:val="TableSideHeading"/>
              <w:rPr>
                <w:rtl/>
              </w:rPr>
            </w:pPr>
            <w:bookmarkStart w:id="34" w:name="_Toc121658621"/>
            <w:bookmarkStart w:id="35" w:name="_Toc121658637"/>
            <w:bookmarkStart w:id="36" w:name="_Toc127353435"/>
            <w:bookmarkStart w:id="37" w:name="_Toc127353466"/>
            <w:r>
              <w:rPr>
                <w:rFonts w:hint="cs"/>
                <w:rtl/>
              </w:rPr>
              <w:t>תיקון סעיף 1</w:t>
            </w:r>
            <w:bookmarkEnd w:id="34"/>
            <w:bookmarkEnd w:id="35"/>
            <w:bookmarkEnd w:id="36"/>
            <w:bookmarkEnd w:id="37"/>
          </w:p>
        </w:tc>
        <w:tc>
          <w:tcPr>
            <w:tcW w:w="624" w:type="dxa"/>
          </w:tcPr>
          <w:p w14:paraId="0C1E68A2" w14:textId="77777777" w:rsidR="00144D6D" w:rsidRDefault="00144D6D" w:rsidP="00144D6D">
            <w:pPr>
              <w:pStyle w:val="TableText"/>
              <w:numPr>
                <w:ilvl w:val="0"/>
                <w:numId w:val="2"/>
              </w:numPr>
            </w:pPr>
          </w:p>
        </w:tc>
        <w:tc>
          <w:tcPr>
            <w:tcW w:w="7146" w:type="dxa"/>
            <w:gridSpan w:val="2"/>
          </w:tcPr>
          <w:p w14:paraId="05A0BA2A" w14:textId="59E0CE21" w:rsidR="00144D6D" w:rsidRPr="0041614E" w:rsidRDefault="00144D6D" w:rsidP="00144D6D">
            <w:pPr>
              <w:pStyle w:val="TableBlock"/>
              <w:rPr>
                <w:rtl/>
              </w:rPr>
            </w:pPr>
            <w:r>
              <w:rPr>
                <w:rFonts w:hint="cs"/>
                <w:rtl/>
              </w:rPr>
              <w:t xml:space="preserve">בצו יבוא חופשי, </w:t>
            </w:r>
            <w:proofErr w:type="spellStart"/>
            <w:r>
              <w:rPr>
                <w:rFonts w:hint="cs"/>
                <w:rtl/>
              </w:rPr>
              <w:t>התשע"ד</w:t>
            </w:r>
            <w:proofErr w:type="spellEnd"/>
            <w:r>
              <w:rPr>
                <w:rFonts w:hint="cs"/>
                <w:rtl/>
              </w:rPr>
              <w:t xml:space="preserve"> </w:t>
            </w:r>
            <w:r>
              <w:rPr>
                <w:rtl/>
              </w:rPr>
              <w:t>–</w:t>
            </w:r>
            <w:r>
              <w:rPr>
                <w:rFonts w:hint="cs"/>
                <w:rtl/>
              </w:rPr>
              <w:t xml:space="preserve"> 2014 (להלן </w:t>
            </w:r>
            <w:r>
              <w:rPr>
                <w:rtl/>
              </w:rPr>
              <w:t>–</w:t>
            </w:r>
            <w:r>
              <w:rPr>
                <w:rFonts w:hint="cs"/>
                <w:rtl/>
              </w:rPr>
              <w:t xml:space="preserve"> "הצו העיקרי")</w:t>
            </w:r>
            <w:r>
              <w:rPr>
                <w:rStyle w:val="a7"/>
                <w:rtl/>
              </w:rPr>
              <w:footnoteReference w:id="2"/>
            </w:r>
            <w:r>
              <w:rPr>
                <w:rFonts w:hint="cs"/>
                <w:rtl/>
              </w:rPr>
              <w:t xml:space="preserve">, בסעיף 1, אחרי ההגדרה "שירות" יבוא ""תמרוקים" </w:t>
            </w:r>
            <w:r>
              <w:rPr>
                <w:rtl/>
              </w:rPr>
              <w:t>–</w:t>
            </w:r>
            <w:r>
              <w:rPr>
                <w:rFonts w:hint="cs"/>
                <w:rtl/>
              </w:rPr>
              <w:t xml:space="preserve"> אישור</w:t>
            </w:r>
            <w:r w:rsidR="00C42C1E">
              <w:rPr>
                <w:rFonts w:hint="cs"/>
                <w:rtl/>
              </w:rPr>
              <w:t xml:space="preserve"> או </w:t>
            </w:r>
            <w:proofErr w:type="spellStart"/>
            <w:r w:rsidR="00C42C1E">
              <w:rPr>
                <w:rFonts w:hint="cs"/>
                <w:rtl/>
              </w:rPr>
              <w:t>רשיון</w:t>
            </w:r>
            <w:proofErr w:type="spellEnd"/>
            <w:r w:rsidR="00C42C1E">
              <w:rPr>
                <w:rFonts w:hint="cs"/>
                <w:rtl/>
              </w:rPr>
              <w:t xml:space="preserve"> תמרוק</w:t>
            </w:r>
            <w:r>
              <w:rPr>
                <w:rFonts w:hint="cs"/>
                <w:rtl/>
              </w:rPr>
              <w:t xml:space="preserve"> </w:t>
            </w:r>
            <w:r w:rsidR="00C42C1E">
              <w:rPr>
                <w:rFonts w:hint="cs"/>
                <w:rtl/>
              </w:rPr>
              <w:t>מ</w:t>
            </w:r>
            <w:r>
              <w:rPr>
                <w:rFonts w:hint="cs"/>
                <w:rtl/>
              </w:rPr>
              <w:t>מחלקת תמרוקים במשרד הבריאות";</w:t>
            </w:r>
          </w:p>
        </w:tc>
      </w:tr>
      <w:tr w:rsidR="00144D6D" w14:paraId="3AE58844" w14:textId="77777777" w:rsidTr="00144D6D">
        <w:trPr>
          <w:cantSplit/>
          <w:trHeight w:val="60"/>
        </w:trPr>
        <w:tc>
          <w:tcPr>
            <w:tcW w:w="1871" w:type="dxa"/>
          </w:tcPr>
          <w:p w14:paraId="1D360EBF" w14:textId="2801CEAA" w:rsidR="00144D6D" w:rsidRDefault="00144D6D" w:rsidP="00144D6D">
            <w:pPr>
              <w:pStyle w:val="TableSideHeading"/>
            </w:pPr>
            <w:bookmarkStart w:id="38" w:name="_Toc120716145"/>
            <w:bookmarkStart w:id="39" w:name="_Toc120716159"/>
            <w:bookmarkStart w:id="40" w:name="_Toc121658622"/>
            <w:bookmarkStart w:id="41" w:name="_Toc121658638"/>
            <w:bookmarkStart w:id="42" w:name="_Toc127353436"/>
            <w:bookmarkStart w:id="43" w:name="_Toc127353467"/>
            <w:r>
              <w:rPr>
                <w:rFonts w:hint="cs"/>
                <w:rtl/>
              </w:rPr>
              <w:t>תיקון התוספת השנ</w:t>
            </w:r>
            <w:r w:rsidR="00EA225C">
              <w:rPr>
                <w:rFonts w:hint="cs"/>
                <w:rtl/>
              </w:rPr>
              <w:t>י</w:t>
            </w:r>
            <w:r>
              <w:rPr>
                <w:rFonts w:hint="cs"/>
                <w:rtl/>
              </w:rPr>
              <w:t>יה</w:t>
            </w:r>
            <w:bookmarkEnd w:id="38"/>
            <w:bookmarkEnd w:id="39"/>
            <w:bookmarkEnd w:id="40"/>
            <w:bookmarkEnd w:id="41"/>
            <w:bookmarkEnd w:id="42"/>
            <w:bookmarkEnd w:id="43"/>
          </w:p>
        </w:tc>
        <w:tc>
          <w:tcPr>
            <w:tcW w:w="624" w:type="dxa"/>
          </w:tcPr>
          <w:p w14:paraId="3DE08124" w14:textId="77777777" w:rsidR="00144D6D" w:rsidRDefault="00144D6D" w:rsidP="00144D6D">
            <w:pPr>
              <w:pStyle w:val="TableText"/>
              <w:numPr>
                <w:ilvl w:val="0"/>
                <w:numId w:val="2"/>
              </w:numPr>
            </w:pPr>
          </w:p>
        </w:tc>
        <w:tc>
          <w:tcPr>
            <w:tcW w:w="7146" w:type="dxa"/>
            <w:gridSpan w:val="2"/>
          </w:tcPr>
          <w:p w14:paraId="68C7250E" w14:textId="686221CD" w:rsidR="00144D6D" w:rsidRDefault="00144D6D" w:rsidP="00EA225C">
            <w:pPr>
              <w:pStyle w:val="TableBlock"/>
            </w:pPr>
            <w:r>
              <w:rPr>
                <w:rFonts w:hint="cs"/>
                <w:rtl/>
              </w:rPr>
              <w:t>בתוספת השני</w:t>
            </w:r>
            <w:r w:rsidR="00EA225C">
              <w:rPr>
                <w:rFonts w:hint="cs"/>
                <w:rtl/>
              </w:rPr>
              <w:t>י</w:t>
            </w:r>
            <w:r>
              <w:rPr>
                <w:rFonts w:hint="cs"/>
                <w:rtl/>
              </w:rPr>
              <w:t xml:space="preserve">ה לצו </w:t>
            </w:r>
            <w:r w:rsidR="00EA225C">
              <w:rPr>
                <w:rFonts w:hint="cs"/>
                <w:rtl/>
              </w:rPr>
              <w:t>העיקרי</w:t>
            </w:r>
            <w:r>
              <w:rPr>
                <w:rFonts w:hint="cs"/>
                <w:rtl/>
              </w:rPr>
              <w:t xml:space="preserve"> - </w:t>
            </w:r>
          </w:p>
        </w:tc>
      </w:tr>
      <w:tr w:rsidR="00144D6D" w14:paraId="1AEE450B" w14:textId="77777777">
        <w:trPr>
          <w:cantSplit/>
          <w:trHeight w:val="60"/>
        </w:trPr>
        <w:tc>
          <w:tcPr>
            <w:tcW w:w="1871" w:type="dxa"/>
          </w:tcPr>
          <w:p w14:paraId="12A96E0D" w14:textId="77777777" w:rsidR="00144D6D" w:rsidRDefault="00144D6D">
            <w:pPr>
              <w:pStyle w:val="TableSideHeading"/>
            </w:pPr>
          </w:p>
        </w:tc>
        <w:tc>
          <w:tcPr>
            <w:tcW w:w="624" w:type="dxa"/>
          </w:tcPr>
          <w:p w14:paraId="08EF97EE" w14:textId="77777777" w:rsidR="00144D6D" w:rsidRDefault="00144D6D">
            <w:pPr>
              <w:pStyle w:val="TableText"/>
            </w:pPr>
          </w:p>
        </w:tc>
        <w:tc>
          <w:tcPr>
            <w:tcW w:w="624" w:type="dxa"/>
          </w:tcPr>
          <w:p w14:paraId="6AA44992" w14:textId="77777777" w:rsidR="00144D6D" w:rsidRDefault="00144D6D">
            <w:pPr>
              <w:pStyle w:val="TableText"/>
              <w:rPr>
                <w:rtl/>
              </w:rPr>
            </w:pPr>
            <w:r>
              <w:rPr>
                <w:rFonts w:hint="cs"/>
                <w:rtl/>
              </w:rPr>
              <w:t>(א)</w:t>
            </w:r>
          </w:p>
        </w:tc>
        <w:tc>
          <w:tcPr>
            <w:tcW w:w="6522" w:type="dxa"/>
          </w:tcPr>
          <w:p w14:paraId="3BA74426" w14:textId="77777777" w:rsidR="00144D6D" w:rsidRDefault="00144D6D">
            <w:pPr>
              <w:pStyle w:val="TableBlock"/>
              <w:rPr>
                <w:rtl/>
              </w:rPr>
            </w:pPr>
            <w:r>
              <w:rPr>
                <w:rFonts w:hint="cs"/>
                <w:rtl/>
              </w:rPr>
              <w:t xml:space="preserve">ההגדרה "צו התמרוקים" </w:t>
            </w:r>
            <w:r>
              <w:rPr>
                <w:rtl/>
              </w:rPr>
              <w:t>–</w:t>
            </w:r>
            <w:r>
              <w:rPr>
                <w:rFonts w:hint="cs"/>
                <w:rtl/>
              </w:rPr>
              <w:t xml:space="preserve"> תמחק.</w:t>
            </w:r>
          </w:p>
        </w:tc>
      </w:tr>
      <w:tr w:rsidR="00144D6D" w14:paraId="4692DE06" w14:textId="77777777">
        <w:trPr>
          <w:cantSplit/>
          <w:trHeight w:val="60"/>
        </w:trPr>
        <w:tc>
          <w:tcPr>
            <w:tcW w:w="1871" w:type="dxa"/>
          </w:tcPr>
          <w:p w14:paraId="41DB654D" w14:textId="77777777" w:rsidR="00144D6D" w:rsidRDefault="00144D6D">
            <w:pPr>
              <w:pStyle w:val="TableSideHeading"/>
            </w:pPr>
          </w:p>
        </w:tc>
        <w:tc>
          <w:tcPr>
            <w:tcW w:w="624" w:type="dxa"/>
          </w:tcPr>
          <w:p w14:paraId="18CA1E8E" w14:textId="77777777" w:rsidR="00144D6D" w:rsidRDefault="00144D6D">
            <w:pPr>
              <w:pStyle w:val="TableText"/>
            </w:pPr>
          </w:p>
        </w:tc>
        <w:tc>
          <w:tcPr>
            <w:tcW w:w="624" w:type="dxa"/>
          </w:tcPr>
          <w:p w14:paraId="1D02F06D" w14:textId="77777777" w:rsidR="00144D6D" w:rsidRDefault="00144D6D" w:rsidP="00144D6D">
            <w:pPr>
              <w:pStyle w:val="TableText"/>
            </w:pPr>
            <w:r>
              <w:rPr>
                <w:rFonts w:hint="cs"/>
                <w:rtl/>
              </w:rPr>
              <w:t>(ב)</w:t>
            </w:r>
          </w:p>
        </w:tc>
        <w:tc>
          <w:tcPr>
            <w:tcW w:w="6522" w:type="dxa"/>
          </w:tcPr>
          <w:p w14:paraId="14CE39FA" w14:textId="77777777" w:rsidR="00144D6D" w:rsidRDefault="00144D6D">
            <w:pPr>
              <w:pStyle w:val="TableBlock"/>
            </w:pPr>
            <w:r>
              <w:rPr>
                <w:rFonts w:hint="cs"/>
                <w:rtl/>
              </w:rPr>
              <w:t>בטבלה, בכל מקום, במקום "רישיון לתמרוק פלוני לפי צו התמרוקים" יבוא "תמרוקים".</w:t>
            </w:r>
          </w:p>
        </w:tc>
      </w:tr>
    </w:tbl>
    <w:p w14:paraId="0B5C5A7C" w14:textId="77777777" w:rsidR="00C91ED1" w:rsidRDefault="00C91ED1" w:rsidP="00307E94"/>
    <w:p w14:paraId="7107F367" w14:textId="77777777" w:rsidR="00C91ED1" w:rsidRDefault="00C91ED1" w:rsidP="00307E94">
      <w:pPr>
        <w:rPr>
          <w:rtl/>
        </w:rPr>
      </w:pPr>
    </w:p>
    <w:p w14:paraId="5911A4A3" w14:textId="7BD95C33" w:rsidR="00C91ED1" w:rsidRDefault="00C91ED1" w:rsidP="00C91ED1">
      <w:pPr>
        <w:rPr>
          <w:rFonts w:eastAsia="Calibri"/>
          <w:rtl/>
        </w:rPr>
      </w:pPr>
      <w:r>
        <w:rPr>
          <w:rFonts w:eastAsia="Calibri" w:hint="cs"/>
          <w:rtl/>
        </w:rPr>
        <w:t>___ ב___</w:t>
      </w:r>
      <w:r w:rsidR="00DD1BC1">
        <w:rPr>
          <w:rFonts w:eastAsia="Calibri" w:hint="cs"/>
          <w:rtl/>
        </w:rPr>
        <w:t xml:space="preserve">_____ </w:t>
      </w:r>
      <w:proofErr w:type="spellStart"/>
      <w:r w:rsidR="00DD1BC1">
        <w:rPr>
          <w:rFonts w:eastAsia="Calibri" w:hint="cs"/>
          <w:rtl/>
        </w:rPr>
        <w:t>התשפ"ג</w:t>
      </w:r>
      <w:proofErr w:type="spellEnd"/>
      <w:r w:rsidR="00DD1BC1">
        <w:rPr>
          <w:rFonts w:eastAsia="Calibri" w:hint="cs"/>
          <w:rtl/>
        </w:rPr>
        <w:t xml:space="preserve"> (___ ב________ 2023</w:t>
      </w:r>
      <w:r>
        <w:rPr>
          <w:rFonts w:eastAsia="Calibri" w:hint="cs"/>
          <w:rtl/>
        </w:rPr>
        <w:t>)</w:t>
      </w:r>
    </w:p>
    <w:p w14:paraId="14E5E28D" w14:textId="77777777" w:rsidR="00C91ED1" w:rsidRDefault="00C91ED1" w:rsidP="00307E94">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_____-3)</w:t>
      </w:r>
    </w:p>
    <w:p w14:paraId="5230ECD3" w14:textId="77777777" w:rsidR="00C91ED1" w:rsidRDefault="00C91ED1" w:rsidP="00307E94">
      <w:pPr>
        <w:rPr>
          <w:rFonts w:eastAsia="Calibri"/>
          <w:rtl/>
        </w:rPr>
      </w:pPr>
    </w:p>
    <w:p w14:paraId="39FA3DEF" w14:textId="4CAAAB2C" w:rsidR="00C91ED1" w:rsidRDefault="00DD1BC1" w:rsidP="00C91ED1">
      <w:pPr>
        <w:ind w:left="5760"/>
        <w:jc w:val="center"/>
        <w:rPr>
          <w:rtl/>
        </w:rPr>
      </w:pPr>
      <w:r>
        <w:rPr>
          <w:rFonts w:hint="cs"/>
          <w:rtl/>
        </w:rPr>
        <w:t>ניר ברקת</w:t>
      </w:r>
    </w:p>
    <w:p w14:paraId="5026C726" w14:textId="1ACBE5A1" w:rsidR="00C91ED1" w:rsidRDefault="00DD1BC1" w:rsidP="00C91ED1">
      <w:pPr>
        <w:ind w:left="5760"/>
        <w:jc w:val="center"/>
        <w:rPr>
          <w:rtl/>
        </w:rPr>
      </w:pPr>
      <w:r>
        <w:rPr>
          <w:rFonts w:hint="cs"/>
          <w:rtl/>
        </w:rPr>
        <w:t>שר</w:t>
      </w:r>
      <w:r w:rsidR="00C91ED1">
        <w:rPr>
          <w:rFonts w:hint="cs"/>
          <w:rtl/>
        </w:rPr>
        <w:t xml:space="preserve"> הכלכלה והתעשייה</w:t>
      </w:r>
    </w:p>
    <w:p w14:paraId="7AB2E806" w14:textId="77777777" w:rsidR="00C94B6E" w:rsidRDefault="00C94B6E">
      <w:pPr>
        <w:widowControl/>
        <w:bidi w:val="0"/>
        <w:spacing w:after="160" w:line="259" w:lineRule="auto"/>
        <w:ind w:left="0"/>
        <w:contextualSpacing w:val="0"/>
        <w:jc w:val="left"/>
        <w:rPr>
          <w:rFonts w:ascii="Arial" w:eastAsia="Arial Unicode MS" w:hAnsi="Arial"/>
          <w:b/>
          <w:snapToGrid w:val="0"/>
          <w:spacing w:val="40"/>
          <w:sz w:val="20"/>
          <w:szCs w:val="26"/>
          <w:rtl/>
        </w:rPr>
      </w:pPr>
      <w:r>
        <w:rPr>
          <w:rtl/>
        </w:rPr>
        <w:br w:type="page"/>
      </w:r>
    </w:p>
    <w:p w14:paraId="3C7C2B9C" w14:textId="77777777" w:rsidR="00C91ED1" w:rsidRDefault="00C91ED1" w:rsidP="00307E94">
      <w:pPr>
        <w:pStyle w:val="HeadDivreiHesber"/>
        <w:rPr>
          <w:rtl/>
        </w:rPr>
      </w:pPr>
      <w:bookmarkStart w:id="44" w:name="_Toc120716146"/>
      <w:bookmarkStart w:id="45" w:name="_Toc120716160"/>
      <w:bookmarkStart w:id="46" w:name="_Toc121658623"/>
      <w:bookmarkStart w:id="47" w:name="_Toc121658639"/>
      <w:bookmarkStart w:id="48" w:name="_Toc127353437"/>
      <w:bookmarkStart w:id="49" w:name="_Toc127353468"/>
      <w:r>
        <w:rPr>
          <w:rtl/>
        </w:rPr>
        <w:lastRenderedPageBreak/>
        <w:t>דברי הסבר</w:t>
      </w:r>
      <w:bookmarkEnd w:id="44"/>
      <w:bookmarkEnd w:id="45"/>
      <w:bookmarkEnd w:id="46"/>
      <w:bookmarkEnd w:id="47"/>
      <w:bookmarkEnd w:id="48"/>
      <w:bookmarkEnd w:id="49"/>
    </w:p>
    <w:p w14:paraId="22754662" w14:textId="651E934D" w:rsidR="00DD1BC1" w:rsidRDefault="00DD1BC1" w:rsidP="00D700AF">
      <w:pPr>
        <w:pStyle w:val="4"/>
        <w:numPr>
          <w:ilvl w:val="0"/>
          <w:numId w:val="0"/>
        </w:numPr>
        <w:rPr>
          <w:b w:val="0"/>
          <w:bCs w:val="0"/>
          <w:color w:val="auto"/>
          <w:szCs w:val="24"/>
          <w:rtl/>
        </w:rPr>
      </w:pPr>
      <w:bookmarkStart w:id="50" w:name="_Toc127353469"/>
      <w:r w:rsidRPr="0011780C">
        <w:rPr>
          <w:b w:val="0"/>
          <w:bCs w:val="0"/>
          <w:color w:val="auto"/>
          <w:szCs w:val="24"/>
          <w:rtl/>
        </w:rPr>
        <w:t>ביום 18 בנובמבר 2021 פורסם חוק התכנית הכלכלית (תיקוני חקיקה ליישום המדיניות הכלכלית לשנות התקציב 2021 ו-2022), התשפ"ב-2021</w:t>
      </w:r>
      <w:bookmarkEnd w:id="50"/>
      <w:r w:rsidR="00D700AF">
        <w:rPr>
          <w:rFonts w:hint="cs"/>
          <w:b w:val="0"/>
          <w:bCs w:val="0"/>
          <w:color w:val="auto"/>
          <w:szCs w:val="24"/>
          <w:rtl/>
        </w:rPr>
        <w:t>.</w:t>
      </w:r>
      <w:r w:rsidRPr="00DD1BC1">
        <w:rPr>
          <w:b w:val="0"/>
          <w:bCs w:val="0"/>
          <w:color w:val="auto"/>
          <w:szCs w:val="24"/>
          <w:rtl/>
        </w:rPr>
        <w:t xml:space="preserve"> </w:t>
      </w:r>
    </w:p>
    <w:p w14:paraId="0819E6CF" w14:textId="6105EF13" w:rsidR="00DD1BC1" w:rsidRDefault="00DD1BC1" w:rsidP="00D700AF">
      <w:pPr>
        <w:pStyle w:val="4"/>
        <w:numPr>
          <w:ilvl w:val="0"/>
          <w:numId w:val="0"/>
        </w:numPr>
        <w:rPr>
          <w:b w:val="0"/>
          <w:bCs w:val="0"/>
          <w:color w:val="auto"/>
          <w:szCs w:val="24"/>
          <w:rtl/>
        </w:rPr>
      </w:pPr>
      <w:bookmarkStart w:id="51" w:name="_Toc127353470"/>
      <w:r w:rsidRPr="0011780C">
        <w:rPr>
          <w:b w:val="0"/>
          <w:bCs w:val="0"/>
          <w:color w:val="auto"/>
          <w:szCs w:val="24"/>
          <w:rtl/>
        </w:rPr>
        <w:t>סעיף 104 לחוק המסמיך קובע סדרת תיקונים בפקודת הרוקחים [נוסח חדש], התשמ"א-1981 (להלן: "הפקודה") שעניינם רפורמה בענף התמרוקים</w:t>
      </w:r>
      <w:r>
        <w:rPr>
          <w:rFonts w:hint="cs"/>
          <w:b w:val="0"/>
          <w:bCs w:val="0"/>
          <w:color w:val="auto"/>
          <w:szCs w:val="24"/>
          <w:rtl/>
        </w:rPr>
        <w:t>, ה</w:t>
      </w:r>
      <w:r w:rsidRPr="0011780C">
        <w:rPr>
          <w:b w:val="0"/>
          <w:bCs w:val="0"/>
          <w:color w:val="auto"/>
          <w:szCs w:val="24"/>
          <w:rtl/>
        </w:rPr>
        <w:t>יוצרים שלושה מסלולים חלופיים לייבוא, ייצור ושיווק תמרוקים:</w:t>
      </w:r>
      <w:bookmarkEnd w:id="51"/>
    </w:p>
    <w:p w14:paraId="64B8586E" w14:textId="77777777" w:rsidR="00DD1BC1" w:rsidRDefault="00DD1BC1" w:rsidP="00DD1BC1">
      <w:pPr>
        <w:pStyle w:val="4"/>
        <w:numPr>
          <w:ilvl w:val="0"/>
          <w:numId w:val="0"/>
        </w:numPr>
        <w:rPr>
          <w:b w:val="0"/>
          <w:bCs w:val="0"/>
          <w:color w:val="auto"/>
          <w:szCs w:val="24"/>
          <w:rtl/>
        </w:rPr>
      </w:pPr>
      <w:bookmarkStart w:id="52" w:name="_Toc127353471"/>
      <w:r w:rsidRPr="0011780C">
        <w:rPr>
          <w:b w:val="0"/>
          <w:bCs w:val="0"/>
          <w:color w:val="auto"/>
          <w:szCs w:val="24"/>
          <w:rtl/>
        </w:rPr>
        <w:t>1.     המשך המצב הנהוג כיום – ייבוא, ייצור ושיווק תמרוקים ברישיון, בהתאם להוראות צו פיקוח על מצרכים ושירותים (תמרוקים), התשל"ג-1973</w:t>
      </w:r>
      <w:r>
        <w:rPr>
          <w:rFonts w:hint="cs"/>
          <w:b w:val="0"/>
          <w:bCs w:val="0"/>
          <w:color w:val="auto"/>
          <w:szCs w:val="24"/>
          <w:rtl/>
        </w:rPr>
        <w:t xml:space="preserve"> (להלן </w:t>
      </w:r>
      <w:r>
        <w:rPr>
          <w:b w:val="0"/>
          <w:bCs w:val="0"/>
          <w:color w:val="auto"/>
          <w:szCs w:val="24"/>
          <w:rtl/>
        </w:rPr>
        <w:t>–</w:t>
      </w:r>
      <w:r>
        <w:rPr>
          <w:rFonts w:hint="cs"/>
          <w:b w:val="0"/>
          <w:bCs w:val="0"/>
          <w:color w:val="auto"/>
          <w:szCs w:val="24"/>
          <w:rtl/>
        </w:rPr>
        <w:t xml:space="preserve"> "צו התמרוקים")</w:t>
      </w:r>
      <w:r w:rsidRPr="0011780C">
        <w:rPr>
          <w:b w:val="0"/>
          <w:bCs w:val="0"/>
          <w:color w:val="auto"/>
          <w:szCs w:val="24"/>
          <w:rtl/>
        </w:rPr>
        <w:t>.</w:t>
      </w:r>
      <w:bookmarkEnd w:id="52"/>
    </w:p>
    <w:p w14:paraId="0F256DDF" w14:textId="77777777" w:rsidR="00DD1BC1" w:rsidRPr="0011780C" w:rsidRDefault="00DD1BC1" w:rsidP="00DD1BC1">
      <w:pPr>
        <w:pStyle w:val="4"/>
        <w:numPr>
          <w:ilvl w:val="0"/>
          <w:numId w:val="0"/>
        </w:numPr>
        <w:rPr>
          <w:b w:val="0"/>
          <w:bCs w:val="0"/>
          <w:color w:val="auto"/>
          <w:szCs w:val="24"/>
          <w:rtl/>
        </w:rPr>
      </w:pPr>
      <w:bookmarkStart w:id="53" w:name="_Toc127353472"/>
      <w:r w:rsidRPr="0011780C">
        <w:rPr>
          <w:b w:val="0"/>
          <w:bCs w:val="0"/>
          <w:color w:val="auto"/>
          <w:szCs w:val="24"/>
          <w:rtl/>
        </w:rPr>
        <w:t>2.     ייבוא, ייצור ושיווק תמרוקים, ללא רישיון, בכפוף לעמידה בדרישות הפקודה המנויות בסימן ב' לפרק ז'1 לפקודה.</w:t>
      </w:r>
      <w:bookmarkEnd w:id="53"/>
    </w:p>
    <w:p w14:paraId="29F4CBCB" w14:textId="77777777" w:rsidR="00DD1BC1" w:rsidRDefault="00DD1BC1" w:rsidP="00DD1BC1">
      <w:pPr>
        <w:pStyle w:val="4"/>
        <w:numPr>
          <w:ilvl w:val="0"/>
          <w:numId w:val="0"/>
        </w:numPr>
        <w:rPr>
          <w:rtl/>
        </w:rPr>
      </w:pPr>
      <w:bookmarkStart w:id="54" w:name="_Toc127353473"/>
      <w:r w:rsidRPr="0011780C">
        <w:rPr>
          <w:b w:val="0"/>
          <w:bCs w:val="0"/>
          <w:color w:val="auto"/>
          <w:szCs w:val="24"/>
          <w:rtl/>
        </w:rPr>
        <w:t>3.     ייבוא מקביל של תמרוקים, ללא רישיון וללא עמידה בסימן ב' כאמור, בכפוף לעמידה בהוראות שנקבעו בסימן ג' לפקודה</w:t>
      </w:r>
      <w:r>
        <w:rPr>
          <w:rFonts w:hint="cs"/>
          <w:b w:val="0"/>
          <w:bCs w:val="0"/>
          <w:color w:val="auto"/>
          <w:szCs w:val="24"/>
          <w:rtl/>
        </w:rPr>
        <w:t>.</w:t>
      </w:r>
      <w:bookmarkEnd w:id="54"/>
    </w:p>
    <w:p w14:paraId="2F3B0509" w14:textId="77777777" w:rsidR="00DD1BC1" w:rsidRPr="00C42C1E" w:rsidRDefault="00DD1BC1" w:rsidP="00DD1BC1">
      <w:pPr>
        <w:ind w:left="49"/>
        <w:rPr>
          <w:rtl/>
        </w:rPr>
      </w:pPr>
      <w:r>
        <w:rPr>
          <w:rFonts w:hint="cs"/>
          <w:rtl/>
        </w:rPr>
        <w:t xml:space="preserve">כיום, תנאי ליבוא של כמה מוצרי תמרוקים בצו יבוא חופשי, </w:t>
      </w:r>
      <w:proofErr w:type="spellStart"/>
      <w:r>
        <w:rPr>
          <w:rFonts w:hint="cs"/>
          <w:rtl/>
        </w:rPr>
        <w:t>התשע"ד</w:t>
      </w:r>
      <w:proofErr w:type="spellEnd"/>
      <w:r>
        <w:rPr>
          <w:rFonts w:hint="cs"/>
          <w:rtl/>
        </w:rPr>
        <w:t xml:space="preserve"> </w:t>
      </w:r>
      <w:r>
        <w:rPr>
          <w:rtl/>
        </w:rPr>
        <w:t>–</w:t>
      </w:r>
      <w:r>
        <w:rPr>
          <w:rFonts w:hint="cs"/>
          <w:rtl/>
        </w:rPr>
        <w:t xml:space="preserve"> 2014, הינו הצגת רישיון לתמרוק לפי צו התמרוקים. מאחר ובעקבות כניסתה לתוקף של הרפורמה האמורה, ניתן יהיה לייבא תמרוקים גם שלא בהתאם להוראות צו התמרוקים, וזאת בהתאם לתנאיהם של שני המסלולים הנוספים החלופיים ליבוא, מוצע לשנות את התנאי האמור. מוצע, כי במקום "רישיון לתמרוק פלוני לפי צו התמרוקים", יקבע כי תנאי ליבוא הטובין הינו אישור או </w:t>
      </w:r>
      <w:proofErr w:type="spellStart"/>
      <w:r>
        <w:rPr>
          <w:rFonts w:hint="cs"/>
          <w:rtl/>
        </w:rPr>
        <w:t>רשיון</w:t>
      </w:r>
      <w:proofErr w:type="spellEnd"/>
      <w:r>
        <w:rPr>
          <w:rFonts w:hint="cs"/>
          <w:rtl/>
        </w:rPr>
        <w:t xml:space="preserve"> תמרוק ממחלקת תמרוקים במשרד הבריאות, כאשר האישור האמור יכול ויינתן בהתאם לכל אחד משלושת המסלולים המפורטים לעיל. </w:t>
      </w:r>
    </w:p>
    <w:p w14:paraId="02A1DC36" w14:textId="77777777" w:rsidR="00C91ED1" w:rsidRPr="00537828" w:rsidRDefault="00C91ED1" w:rsidP="00307E94">
      <w:pPr>
        <w:pStyle w:val="Hesber1st"/>
        <w:tabs>
          <w:tab w:val="clear" w:pos="680"/>
        </w:tabs>
        <w:rPr>
          <w:rtl/>
        </w:rPr>
      </w:pPr>
    </w:p>
    <w:p w14:paraId="1689C39C" w14:textId="77777777" w:rsidR="00667FA0" w:rsidRDefault="00913CE0"/>
    <w:sectPr w:rsidR="00667FA0" w:rsidSect="00C91ED1">
      <w:pgSz w:w="12240" w:h="15840"/>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6FA4" w14:textId="77777777" w:rsidR="00913CE0" w:rsidRDefault="00913CE0" w:rsidP="00C91ED1">
      <w:pPr>
        <w:spacing w:line="240" w:lineRule="auto"/>
      </w:pPr>
      <w:r>
        <w:separator/>
      </w:r>
    </w:p>
  </w:endnote>
  <w:endnote w:type="continuationSeparator" w:id="0">
    <w:p w14:paraId="29EC7435" w14:textId="77777777" w:rsidR="00913CE0" w:rsidRDefault="00913CE0" w:rsidP="00C91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133D" w14:textId="77777777" w:rsidR="00913CE0" w:rsidRDefault="00913CE0" w:rsidP="00C91ED1">
      <w:pPr>
        <w:spacing w:line="240" w:lineRule="auto"/>
      </w:pPr>
      <w:r>
        <w:separator/>
      </w:r>
    </w:p>
  </w:footnote>
  <w:footnote w:type="continuationSeparator" w:id="0">
    <w:p w14:paraId="129998DD" w14:textId="77777777" w:rsidR="00913CE0" w:rsidRDefault="00913CE0" w:rsidP="00C91ED1">
      <w:pPr>
        <w:spacing w:line="240" w:lineRule="auto"/>
      </w:pPr>
      <w:r>
        <w:continuationSeparator/>
      </w:r>
    </w:p>
  </w:footnote>
  <w:footnote w:id="1">
    <w:p w14:paraId="25CD8876" w14:textId="77777777" w:rsidR="00C91ED1" w:rsidRDefault="00C91ED1" w:rsidP="00C91ED1">
      <w:pPr>
        <w:pStyle w:val="a5"/>
        <w:rPr>
          <w:rtl/>
        </w:rPr>
      </w:pPr>
      <w:r>
        <w:rPr>
          <w:rStyle w:val="a7"/>
        </w:rPr>
        <w:footnoteRef/>
      </w:r>
      <w:r>
        <w:rPr>
          <w:rtl/>
        </w:rPr>
        <w:t xml:space="preserve"> </w:t>
      </w:r>
      <w:r>
        <w:rPr>
          <w:rFonts w:hint="cs"/>
          <w:rtl/>
        </w:rPr>
        <w:t>דיני מדינת ישראל, נוסח חדש 32, עמ' 625; ס"ח התשע"ד, עמ' 20.</w:t>
      </w:r>
    </w:p>
  </w:footnote>
  <w:footnote w:id="2">
    <w:p w14:paraId="58F8E398" w14:textId="53104CA9" w:rsidR="00144D6D" w:rsidRDefault="00144D6D" w:rsidP="00DD1BC1">
      <w:pPr>
        <w:pStyle w:val="a5"/>
      </w:pPr>
      <w:r>
        <w:rPr>
          <w:rStyle w:val="a7"/>
        </w:rPr>
        <w:footnoteRef/>
      </w:r>
      <w:r>
        <w:rPr>
          <w:rtl/>
        </w:rPr>
        <w:t xml:space="preserve"> </w:t>
      </w:r>
      <w:r>
        <w:rPr>
          <w:rFonts w:hint="cs"/>
          <w:rtl/>
        </w:rPr>
        <w:t xml:space="preserve">ק"ת </w:t>
      </w:r>
      <w:r>
        <w:rPr>
          <w:rtl/>
        </w:rPr>
        <w:t>–</w:t>
      </w:r>
      <w:r w:rsidR="00DD1BC1">
        <w:rPr>
          <w:rFonts w:hint="cs"/>
          <w:rtl/>
        </w:rPr>
        <w:t xml:space="preserve"> שיעורי מק"ח, התשע"ד, עמ' 46; התשפ"ג, עמ'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F570A"/>
    <w:multiLevelType w:val="hybridMultilevel"/>
    <w:tmpl w:val="C0DA17E4"/>
    <w:lvl w:ilvl="0" w:tplc="E9D63D9C">
      <w:start w:val="1"/>
      <w:numFmt w:val="decimal"/>
      <w:lvlText w:val="(%1)"/>
      <w:lvlJc w:val="left"/>
      <w:pPr>
        <w:ind w:left="367" w:hanging="360"/>
      </w:pPr>
    </w:lvl>
    <w:lvl w:ilvl="1" w:tplc="F2CAE236">
      <w:start w:val="1"/>
      <w:numFmt w:val="lowerLetter"/>
      <w:lvlText w:val="%2."/>
      <w:lvlJc w:val="left"/>
      <w:pPr>
        <w:ind w:left="1087" w:hanging="360"/>
      </w:pPr>
    </w:lvl>
    <w:lvl w:ilvl="2" w:tplc="B8DAFE30">
      <w:start w:val="1"/>
      <w:numFmt w:val="lowerRoman"/>
      <w:lvlText w:val="%3."/>
      <w:lvlJc w:val="right"/>
      <w:pPr>
        <w:ind w:left="1807" w:hanging="180"/>
      </w:pPr>
    </w:lvl>
    <w:lvl w:ilvl="3" w:tplc="02143336">
      <w:start w:val="1"/>
      <w:numFmt w:val="decimal"/>
      <w:lvlText w:val="%4."/>
      <w:lvlJc w:val="left"/>
      <w:pPr>
        <w:ind w:left="2527" w:hanging="360"/>
      </w:pPr>
    </w:lvl>
    <w:lvl w:ilvl="4" w:tplc="0BB8E16E">
      <w:start w:val="1"/>
      <w:numFmt w:val="lowerLetter"/>
      <w:lvlText w:val="%5."/>
      <w:lvlJc w:val="left"/>
      <w:pPr>
        <w:ind w:left="3247" w:hanging="360"/>
      </w:pPr>
    </w:lvl>
    <w:lvl w:ilvl="5" w:tplc="CB4EEAC0">
      <w:start w:val="1"/>
      <w:numFmt w:val="lowerRoman"/>
      <w:lvlText w:val="%6."/>
      <w:lvlJc w:val="right"/>
      <w:pPr>
        <w:ind w:left="3967" w:hanging="180"/>
      </w:pPr>
    </w:lvl>
    <w:lvl w:ilvl="6" w:tplc="573041A8">
      <w:start w:val="1"/>
      <w:numFmt w:val="decimal"/>
      <w:lvlText w:val="%7."/>
      <w:lvlJc w:val="left"/>
      <w:pPr>
        <w:ind w:left="4687" w:hanging="360"/>
      </w:pPr>
    </w:lvl>
    <w:lvl w:ilvl="7" w:tplc="18085B3C">
      <w:start w:val="1"/>
      <w:numFmt w:val="lowerLetter"/>
      <w:lvlText w:val="%8."/>
      <w:lvlJc w:val="left"/>
      <w:pPr>
        <w:ind w:left="5407" w:hanging="360"/>
      </w:pPr>
    </w:lvl>
    <w:lvl w:ilvl="8" w:tplc="97EC9D68">
      <w:start w:val="1"/>
      <w:numFmt w:val="lowerRoman"/>
      <w:lvlText w:val="%9."/>
      <w:lvlJc w:val="right"/>
      <w:pPr>
        <w:ind w:left="6127" w:hanging="180"/>
      </w:p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1"/>
  </w:num>
  <w:num w:numId="6">
    <w:abstractNumId w:val="1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3"/>
    <w:lvlOverride w:ilvl="0">
      <w:startOverride w:val="1"/>
    </w:lvlOverride>
  </w:num>
  <w:num w:numId="18">
    <w:abstractNumId w:val="10"/>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D1"/>
    <w:rsid w:val="0010388D"/>
    <w:rsid w:val="0011780C"/>
    <w:rsid w:val="00144D6D"/>
    <w:rsid w:val="002F6EBE"/>
    <w:rsid w:val="00485808"/>
    <w:rsid w:val="00584D46"/>
    <w:rsid w:val="00635C56"/>
    <w:rsid w:val="007C53BD"/>
    <w:rsid w:val="0089733D"/>
    <w:rsid w:val="00913CE0"/>
    <w:rsid w:val="00915314"/>
    <w:rsid w:val="00A61623"/>
    <w:rsid w:val="00C42C1E"/>
    <w:rsid w:val="00C91ED1"/>
    <w:rsid w:val="00C94B6E"/>
    <w:rsid w:val="00D700AF"/>
    <w:rsid w:val="00DD1BC1"/>
    <w:rsid w:val="00E04458"/>
    <w:rsid w:val="00E54EF5"/>
    <w:rsid w:val="00EA225C"/>
    <w:rsid w:val="00F37E6D"/>
    <w:rsid w:val="00FB5ADF"/>
    <w:rsid w:val="00FD3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38FA"/>
  <w15:chartTrackingRefBased/>
  <w15:docId w15:val="{814D9DEB-E9A0-4265-BDBB-AC7B5BC3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BC1"/>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DD1BC1"/>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D1BC1"/>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D1BC1"/>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D1BC1"/>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D1BC1"/>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D1BC1"/>
    <w:rPr>
      <w:rFonts w:asciiTheme="majorHAnsi" w:eastAsiaTheme="majorEastAsia" w:hAnsiTheme="majorHAnsi" w:cs="David"/>
      <w:bCs/>
      <w:sz w:val="32"/>
      <w:szCs w:val="36"/>
    </w:rPr>
  </w:style>
  <w:style w:type="character" w:customStyle="1" w:styleId="40">
    <w:name w:val="כותרת 4 תו"/>
    <w:basedOn w:val="a0"/>
    <w:link w:val="4"/>
    <w:uiPriority w:val="9"/>
    <w:rsid w:val="00DD1BC1"/>
    <w:rPr>
      <w:rFonts w:ascii="David" w:hAnsi="David" w:cs="David"/>
      <w:b/>
      <w:bCs/>
      <w:color w:val="000000" w:themeColor="text1"/>
      <w:sz w:val="24"/>
      <w:szCs w:val="28"/>
    </w:rPr>
  </w:style>
  <w:style w:type="paragraph" w:customStyle="1" w:styleId="TableText">
    <w:name w:val="Table Text"/>
    <w:basedOn w:val="a"/>
    <w:rsid w:val="00DD1BC1"/>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D1BC1"/>
    <w:pPr>
      <w:outlineLvl w:val="2"/>
    </w:pPr>
  </w:style>
  <w:style w:type="paragraph" w:customStyle="1" w:styleId="TableBlock">
    <w:name w:val="Table Block"/>
    <w:basedOn w:val="TableText"/>
    <w:rsid w:val="00DD1BC1"/>
    <w:pPr>
      <w:jc w:val="both"/>
    </w:pPr>
  </w:style>
  <w:style w:type="paragraph" w:customStyle="1" w:styleId="TableHead">
    <w:name w:val="Table Head"/>
    <w:basedOn w:val="TableText"/>
    <w:rsid w:val="00DD1BC1"/>
    <w:pPr>
      <w:jc w:val="center"/>
      <w:outlineLvl w:val="1"/>
    </w:pPr>
    <w:rPr>
      <w:b/>
      <w:bCs/>
    </w:rPr>
  </w:style>
  <w:style w:type="paragraph" w:customStyle="1" w:styleId="HeadMitparsemetBaze">
    <w:name w:val="Head MitparsemetBaze"/>
    <w:basedOn w:val="a"/>
    <w:rsid w:val="00DD1BC1"/>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D1BC1"/>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DD1BC1"/>
    <w:pPr>
      <w:tabs>
        <w:tab w:val="left" w:pos="680"/>
        <w:tab w:val="left" w:pos="1020"/>
      </w:tabs>
      <w:ind w:firstLine="0"/>
    </w:pPr>
  </w:style>
  <w:style w:type="paragraph" w:customStyle="1" w:styleId="HeadDivreiHesber">
    <w:name w:val="Head DivreiHesber"/>
    <w:basedOn w:val="a"/>
    <w:rsid w:val="00DD1BC1"/>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DD1BC1"/>
    <w:rPr>
      <w:rFonts w:asciiTheme="majorHAnsi" w:eastAsiaTheme="majorEastAsia" w:hAnsiTheme="majorHAnsi" w:cs="David"/>
      <w:bCs/>
      <w:sz w:val="26"/>
      <w:szCs w:val="36"/>
      <w:u w:val="single"/>
    </w:rPr>
  </w:style>
  <w:style w:type="character" w:customStyle="1" w:styleId="30">
    <w:name w:val="כותרת 3 תו"/>
    <w:basedOn w:val="a0"/>
    <w:link w:val="3"/>
    <w:rsid w:val="00DD1BC1"/>
    <w:rPr>
      <w:rFonts w:asciiTheme="majorHAnsi" w:eastAsiaTheme="majorEastAsia" w:hAnsiTheme="majorHAnsi" w:cs="David"/>
      <w:sz w:val="24"/>
      <w:szCs w:val="28"/>
      <w:u w:val="double"/>
    </w:rPr>
  </w:style>
  <w:style w:type="character" w:customStyle="1" w:styleId="50">
    <w:name w:val="כותרת 5 תו"/>
    <w:basedOn w:val="a0"/>
    <w:link w:val="5"/>
    <w:uiPriority w:val="9"/>
    <w:rsid w:val="00DD1BC1"/>
    <w:rPr>
      <w:rFonts w:ascii="David" w:hAnsi="David" w:cs="David"/>
      <w:color w:val="000000" w:themeColor="text1"/>
      <w:sz w:val="24"/>
      <w:szCs w:val="24"/>
    </w:rPr>
  </w:style>
  <w:style w:type="paragraph" w:customStyle="1" w:styleId="HeadHatzaotHok4Futer">
    <w:name w:val="Head HatzaotHok4Futer"/>
    <w:basedOn w:val="HeadHatzaotHok"/>
    <w:rsid w:val="00DD1BC1"/>
    <w:pPr>
      <w:spacing w:before="120" w:after="120"/>
    </w:pPr>
    <w:rPr>
      <w:color w:val="FF0000"/>
      <w:w w:val="80"/>
    </w:rPr>
  </w:style>
  <w:style w:type="paragraph" w:styleId="a3">
    <w:name w:val="endnote text"/>
    <w:basedOn w:val="a"/>
    <w:link w:val="a4"/>
    <w:semiHidden/>
    <w:rsid w:val="00DD1BC1"/>
    <w:pPr>
      <w:ind w:left="227" w:hanging="227"/>
    </w:pPr>
    <w:rPr>
      <w:sz w:val="14"/>
      <w:szCs w:val="22"/>
    </w:rPr>
  </w:style>
  <w:style w:type="character" w:customStyle="1" w:styleId="a4">
    <w:name w:val="טקסט הערת סיום תו"/>
    <w:basedOn w:val="a0"/>
    <w:link w:val="a3"/>
    <w:semiHidden/>
    <w:rsid w:val="00C91ED1"/>
    <w:rPr>
      <w:rFonts w:ascii="David" w:hAnsi="David" w:cs="David"/>
      <w:sz w:val="14"/>
    </w:rPr>
  </w:style>
  <w:style w:type="paragraph" w:customStyle="1" w:styleId="TableInnerSideHeading">
    <w:name w:val="Table InnerSideHeading"/>
    <w:basedOn w:val="TableSideHeading"/>
    <w:rsid w:val="00DD1BC1"/>
    <w:pPr>
      <w:outlineLvl w:val="9"/>
    </w:pPr>
  </w:style>
  <w:style w:type="paragraph" w:customStyle="1" w:styleId="Hesber">
    <w:name w:val="Hesber"/>
    <w:basedOn w:val="a"/>
    <w:rsid w:val="00DD1BC1"/>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DD1BC1"/>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C91ED1"/>
    <w:rPr>
      <w:rFonts w:ascii="Arial" w:eastAsia="Arial Unicode MS" w:hAnsi="Arial" w:cs="David"/>
      <w:snapToGrid w:val="0"/>
      <w:sz w:val="14"/>
      <w:szCs w:val="20"/>
    </w:rPr>
  </w:style>
  <w:style w:type="character" w:styleId="a7">
    <w:name w:val="footnote reference"/>
    <w:aliases w:val="Footnote Reference,Footnote Reference_0"/>
    <w:basedOn w:val="a0"/>
    <w:semiHidden/>
    <w:rsid w:val="00DD1BC1"/>
    <w:rPr>
      <w:vertAlign w:val="superscript"/>
    </w:rPr>
  </w:style>
  <w:style w:type="paragraph" w:customStyle="1" w:styleId="HesberHeading">
    <w:name w:val="Hesber Heading"/>
    <w:basedOn w:val="Hesber"/>
    <w:rsid w:val="00DD1BC1"/>
    <w:pPr>
      <w:tabs>
        <w:tab w:val="left" w:pos="624"/>
        <w:tab w:val="left" w:pos="1247"/>
      </w:tabs>
    </w:pPr>
    <w:rPr>
      <w:b/>
      <w:bCs/>
    </w:rPr>
  </w:style>
  <w:style w:type="paragraph" w:customStyle="1" w:styleId="HesberWriters">
    <w:name w:val="Hesber Writers"/>
    <w:basedOn w:val="Hesber"/>
    <w:rsid w:val="00DD1BC1"/>
    <w:pPr>
      <w:spacing w:before="120" w:after="120"/>
      <w:ind w:left="1418"/>
      <w:jc w:val="right"/>
    </w:pPr>
    <w:rPr>
      <w:b/>
      <w:bCs/>
    </w:rPr>
  </w:style>
  <w:style w:type="character" w:styleId="a8">
    <w:name w:val="endnote reference"/>
    <w:basedOn w:val="a0"/>
    <w:semiHidden/>
    <w:rsid w:val="00DD1BC1"/>
    <w:rPr>
      <w:vertAlign w:val="superscript"/>
    </w:rPr>
  </w:style>
  <w:style w:type="paragraph" w:customStyle="1" w:styleId="TableBlockOutdent">
    <w:name w:val="Table BlockOutdent"/>
    <w:basedOn w:val="TableBlock"/>
    <w:rsid w:val="00DD1BC1"/>
    <w:pPr>
      <w:ind w:left="624" w:hanging="624"/>
    </w:pPr>
  </w:style>
  <w:style w:type="paragraph" w:styleId="a9">
    <w:name w:val="header"/>
    <w:basedOn w:val="a"/>
    <w:link w:val="aa"/>
    <w:rsid w:val="00DD1BC1"/>
    <w:pPr>
      <w:tabs>
        <w:tab w:val="center" w:pos="4153"/>
        <w:tab w:val="right" w:pos="8306"/>
      </w:tabs>
    </w:pPr>
  </w:style>
  <w:style w:type="character" w:customStyle="1" w:styleId="aa">
    <w:name w:val="כותרת עליונה תו"/>
    <w:basedOn w:val="a0"/>
    <w:link w:val="a9"/>
    <w:rsid w:val="00C91ED1"/>
    <w:rPr>
      <w:rFonts w:ascii="David" w:hAnsi="David" w:cs="David"/>
      <w:sz w:val="24"/>
      <w:szCs w:val="24"/>
    </w:rPr>
  </w:style>
  <w:style w:type="paragraph" w:styleId="ab">
    <w:name w:val="footer"/>
    <w:basedOn w:val="a"/>
    <w:link w:val="ac"/>
    <w:rsid w:val="00DD1BC1"/>
    <w:pPr>
      <w:tabs>
        <w:tab w:val="center" w:pos="4153"/>
        <w:tab w:val="right" w:pos="8306"/>
      </w:tabs>
    </w:pPr>
  </w:style>
  <w:style w:type="character" w:customStyle="1" w:styleId="ac">
    <w:name w:val="כותרת תחתונה תו"/>
    <w:basedOn w:val="a0"/>
    <w:link w:val="ab"/>
    <w:rsid w:val="00C91ED1"/>
    <w:rPr>
      <w:rFonts w:ascii="David" w:hAnsi="David" w:cs="David"/>
      <w:sz w:val="24"/>
      <w:szCs w:val="24"/>
    </w:rPr>
  </w:style>
  <w:style w:type="character" w:styleId="ad">
    <w:name w:val="page number"/>
    <w:basedOn w:val="a0"/>
    <w:rsid w:val="00DD1BC1"/>
  </w:style>
  <w:style w:type="paragraph" w:customStyle="1" w:styleId="Cover1-Reshumot">
    <w:name w:val="Cover 1-Reshumot"/>
    <w:basedOn w:val="a"/>
    <w:rsid w:val="00DD1BC1"/>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D1BC1"/>
    <w:rPr>
      <w:sz w:val="36"/>
      <w:szCs w:val="52"/>
    </w:rPr>
  </w:style>
  <w:style w:type="paragraph" w:customStyle="1" w:styleId="Cover3-Haknesset">
    <w:name w:val="Cover 3-Haknesset"/>
    <w:basedOn w:val="Cover1-Reshumot"/>
    <w:rsid w:val="00DD1BC1"/>
    <w:rPr>
      <w:b/>
      <w:bCs/>
      <w:spacing w:val="60"/>
    </w:rPr>
  </w:style>
  <w:style w:type="paragraph" w:customStyle="1" w:styleId="Cover4-Date">
    <w:name w:val="Cover 4-Date"/>
    <w:basedOn w:val="a"/>
    <w:rsid w:val="00DD1BC1"/>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DD1BC1"/>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DD1BC1"/>
    <w:pPr>
      <w:widowControl/>
      <w:spacing w:before="120" w:after="120"/>
      <w:outlineLvl w:val="9"/>
    </w:pPr>
    <w:rPr>
      <w:rtl/>
      <w:cs/>
    </w:rPr>
  </w:style>
  <w:style w:type="paragraph" w:styleId="TOC1">
    <w:name w:val="toc 1"/>
    <w:basedOn w:val="a"/>
    <w:next w:val="a"/>
    <w:autoRedefine/>
    <w:uiPriority w:val="39"/>
    <w:unhideWhenUsed/>
    <w:rsid w:val="00DD1BC1"/>
    <w:pPr>
      <w:tabs>
        <w:tab w:val="right" w:leader="dot" w:pos="9629"/>
      </w:tabs>
      <w:spacing w:after="100"/>
    </w:pPr>
    <w:rPr>
      <w:bCs/>
      <w:szCs w:val="22"/>
    </w:rPr>
  </w:style>
  <w:style w:type="paragraph" w:styleId="TOC2">
    <w:name w:val="toc 2"/>
    <w:basedOn w:val="a"/>
    <w:next w:val="a"/>
    <w:uiPriority w:val="39"/>
    <w:unhideWhenUsed/>
    <w:rsid w:val="00DD1BC1"/>
    <w:pPr>
      <w:tabs>
        <w:tab w:val="right" w:leader="dot" w:pos="9628"/>
      </w:tabs>
      <w:spacing w:after="100"/>
    </w:pPr>
    <w:rPr>
      <w:szCs w:val="22"/>
    </w:rPr>
  </w:style>
  <w:style w:type="character" w:styleId="Hyperlink">
    <w:name w:val="Hyperlink"/>
    <w:basedOn w:val="a0"/>
    <w:uiPriority w:val="99"/>
    <w:unhideWhenUsed/>
    <w:rsid w:val="00DD1BC1"/>
    <w:rPr>
      <w:color w:val="0563C1" w:themeColor="hyperlink"/>
      <w:u w:val="single"/>
    </w:rPr>
  </w:style>
  <w:style w:type="paragraph" w:styleId="TOC3">
    <w:name w:val="toc 3"/>
    <w:basedOn w:val="a"/>
    <w:next w:val="a"/>
    <w:uiPriority w:val="39"/>
    <w:unhideWhenUsed/>
    <w:rsid w:val="00DD1BC1"/>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DD1BC1"/>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D1BC1"/>
    <w:pPr>
      <w:tabs>
        <w:tab w:val="right" w:leader="dot" w:pos="9628"/>
      </w:tabs>
      <w:spacing w:after="100"/>
      <w:ind w:left="567"/>
    </w:pPr>
    <w:rPr>
      <w:szCs w:val="22"/>
    </w:rPr>
  </w:style>
  <w:style w:type="paragraph" w:styleId="TOC6">
    <w:name w:val="toc 6"/>
    <w:basedOn w:val="a"/>
    <w:next w:val="a"/>
    <w:autoRedefine/>
    <w:semiHidden/>
    <w:unhideWhenUsed/>
    <w:rsid w:val="00DD1BC1"/>
    <w:pPr>
      <w:spacing w:after="100"/>
      <w:ind w:left="850"/>
    </w:pPr>
  </w:style>
  <w:style w:type="paragraph" w:styleId="TOC7">
    <w:name w:val="toc 7"/>
    <w:basedOn w:val="a"/>
    <w:next w:val="a"/>
    <w:autoRedefine/>
    <w:semiHidden/>
    <w:unhideWhenUsed/>
    <w:rsid w:val="00DD1BC1"/>
    <w:pPr>
      <w:spacing w:after="100"/>
      <w:ind w:left="1020"/>
    </w:pPr>
  </w:style>
  <w:style w:type="paragraph" w:styleId="TOC8">
    <w:name w:val="toc 8"/>
    <w:basedOn w:val="a"/>
    <w:next w:val="a"/>
    <w:autoRedefine/>
    <w:semiHidden/>
    <w:unhideWhenUsed/>
    <w:rsid w:val="00DD1BC1"/>
    <w:pPr>
      <w:spacing w:after="100"/>
      <w:ind w:left="1190"/>
    </w:pPr>
  </w:style>
  <w:style w:type="paragraph" w:styleId="TOC9">
    <w:name w:val="toc 9"/>
    <w:basedOn w:val="a"/>
    <w:next w:val="a"/>
    <w:autoRedefine/>
    <w:semiHidden/>
    <w:unhideWhenUsed/>
    <w:rsid w:val="00DD1BC1"/>
    <w:pPr>
      <w:spacing w:after="100"/>
      <w:ind w:left="1360"/>
    </w:pPr>
  </w:style>
  <w:style w:type="paragraph" w:customStyle="1" w:styleId="TableHead2">
    <w:name w:val="Table Head2"/>
    <w:basedOn w:val="TableHead"/>
    <w:qFormat/>
    <w:rsid w:val="00DD1BC1"/>
    <w:pPr>
      <w:outlineLvl w:val="9"/>
    </w:pPr>
  </w:style>
  <w:style w:type="paragraph" w:customStyle="1" w:styleId="TableSideHeading2">
    <w:name w:val="Table SideHeading2"/>
    <w:basedOn w:val="TableSideHeading"/>
    <w:autoRedefine/>
    <w:qFormat/>
    <w:rsid w:val="00DD1BC1"/>
    <w:pPr>
      <w:keepLines w:val="0"/>
      <w:outlineLvl w:val="9"/>
    </w:pPr>
  </w:style>
  <w:style w:type="paragraph" w:customStyle="1" w:styleId="0">
    <w:name w:val="סגנון שורה ראשונה:  0  ס''מ"/>
    <w:basedOn w:val="2"/>
    <w:rsid w:val="00DD1BC1"/>
    <w:rPr>
      <w:rFonts w:eastAsia="Times New Roman"/>
    </w:rPr>
  </w:style>
  <w:style w:type="paragraph" w:styleId="af">
    <w:name w:val="List Paragraph"/>
    <w:basedOn w:val="a"/>
    <w:uiPriority w:val="34"/>
    <w:qFormat/>
    <w:rsid w:val="00DD1BC1"/>
    <w:pPr>
      <w:widowControl/>
      <w:spacing w:line="259" w:lineRule="auto"/>
    </w:pPr>
    <w:rPr>
      <w:rFonts w:asciiTheme="minorHAnsi" w:hAnsiTheme="minorHAnsi"/>
      <w:sz w:val="22"/>
    </w:rPr>
  </w:style>
  <w:style w:type="table" w:styleId="af0">
    <w:name w:val="Table Grid"/>
    <w:basedOn w:val="a1"/>
    <w:rsid w:val="00DD1BC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D1BC1"/>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D1BC1"/>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DD1BC1"/>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D1BC1"/>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FD3F89"/>
    <w:rPr>
      <w:sz w:val="16"/>
      <w:szCs w:val="16"/>
    </w:rPr>
  </w:style>
  <w:style w:type="paragraph" w:styleId="af3">
    <w:name w:val="annotation text"/>
    <w:basedOn w:val="a"/>
    <w:link w:val="af4"/>
    <w:uiPriority w:val="99"/>
    <w:semiHidden/>
    <w:unhideWhenUsed/>
    <w:rsid w:val="00FD3F89"/>
    <w:pPr>
      <w:spacing w:line="240" w:lineRule="auto"/>
    </w:pPr>
    <w:rPr>
      <w:sz w:val="20"/>
      <w:szCs w:val="20"/>
    </w:rPr>
  </w:style>
  <w:style w:type="character" w:customStyle="1" w:styleId="af4">
    <w:name w:val="טקסט הערה תו"/>
    <w:basedOn w:val="a0"/>
    <w:link w:val="af3"/>
    <w:uiPriority w:val="99"/>
    <w:semiHidden/>
    <w:rsid w:val="00FD3F89"/>
    <w:rPr>
      <w:rFonts w:ascii="David" w:hAnsi="David" w:cs="David"/>
      <w:sz w:val="20"/>
      <w:szCs w:val="20"/>
    </w:rPr>
  </w:style>
  <w:style w:type="paragraph" w:styleId="af5">
    <w:name w:val="annotation subject"/>
    <w:basedOn w:val="af3"/>
    <w:next w:val="af3"/>
    <w:link w:val="af6"/>
    <w:uiPriority w:val="99"/>
    <w:semiHidden/>
    <w:unhideWhenUsed/>
    <w:rsid w:val="00FD3F89"/>
    <w:rPr>
      <w:b/>
      <w:bCs/>
    </w:rPr>
  </w:style>
  <w:style w:type="character" w:customStyle="1" w:styleId="af6">
    <w:name w:val="נושא הערה תו"/>
    <w:basedOn w:val="af4"/>
    <w:link w:val="af5"/>
    <w:uiPriority w:val="99"/>
    <w:semiHidden/>
    <w:rsid w:val="00FD3F89"/>
    <w:rPr>
      <w:rFonts w:ascii="David" w:hAnsi="David" w:cs="David"/>
      <w:b/>
      <w:bCs/>
      <w:sz w:val="20"/>
      <w:szCs w:val="20"/>
    </w:rPr>
  </w:style>
  <w:style w:type="paragraph" w:styleId="af7">
    <w:name w:val="Balloon Text"/>
    <w:basedOn w:val="a"/>
    <w:link w:val="af8"/>
    <w:uiPriority w:val="99"/>
    <w:semiHidden/>
    <w:unhideWhenUsed/>
    <w:rsid w:val="00FD3F89"/>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FD3F8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3322</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גולדשטיין</dc:creator>
  <cp:keywords/>
  <dc:description/>
  <cp:lastModifiedBy>איילת זלדין</cp:lastModifiedBy>
  <cp:revision>2</cp:revision>
  <dcterms:created xsi:type="dcterms:W3CDTF">2023-03-06T12:07:00Z</dcterms:created>
  <dcterms:modified xsi:type="dcterms:W3CDTF">2023-03-06T12:07:00Z</dcterms:modified>
</cp:coreProperties>
</file>