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D70" w:rsidRDefault="00F71D70" w:rsidP="005F0271">
      <w:pPr>
        <w:jc w:val="center"/>
        <w:rPr>
          <w:b/>
          <w:bCs/>
          <w:sz w:val="26"/>
          <w:szCs w:val="26"/>
          <w:rtl/>
        </w:rPr>
      </w:pPr>
      <w:bookmarkStart w:id="0" w:name="_GoBack"/>
      <w:bookmarkEnd w:id="0"/>
      <w:r>
        <w:rPr>
          <w:noProof/>
        </w:rPr>
        <w:drawing>
          <wp:inline distT="0" distB="0" distL="0" distR="0" wp14:anchorId="1C84503C" wp14:editId="704508AA">
            <wp:extent cx="509905" cy="624205"/>
            <wp:effectExtent l="0" t="0" r="4445" b="4445"/>
            <wp:docPr id="1" name="תמונה 1" descr="סמל המדינה"/>
            <wp:cNvGraphicFramePr/>
            <a:graphic xmlns:a="http://schemas.openxmlformats.org/drawingml/2006/main">
              <a:graphicData uri="http://schemas.openxmlformats.org/drawingml/2006/picture">
                <pic:pic xmlns:pic="http://schemas.openxmlformats.org/drawingml/2006/picture">
                  <pic:nvPicPr>
                    <pic:cNvPr id="1" name="תמונה 1" descr="סמל המדינה"/>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905" cy="624205"/>
                    </a:xfrm>
                    <a:prstGeom prst="rect">
                      <a:avLst/>
                    </a:prstGeom>
                    <a:noFill/>
                    <a:ln>
                      <a:noFill/>
                    </a:ln>
                  </pic:spPr>
                </pic:pic>
              </a:graphicData>
            </a:graphic>
          </wp:inline>
        </w:drawing>
      </w:r>
    </w:p>
    <w:p w:rsidR="00F71D70" w:rsidRDefault="00F71D70" w:rsidP="005F0271">
      <w:pPr>
        <w:rPr>
          <w:b/>
          <w:bCs/>
          <w:sz w:val="26"/>
          <w:szCs w:val="26"/>
          <w:rtl/>
        </w:rPr>
      </w:pPr>
      <w:r w:rsidRPr="00CB5068">
        <w:rPr>
          <w:b/>
          <w:bCs/>
          <w:sz w:val="26"/>
          <w:szCs w:val="26"/>
          <w:rtl/>
        </w:rPr>
        <w:t>תוכן עניינים</w:t>
      </w:r>
    </w:p>
    <w:p w:rsidR="00F71D70" w:rsidRDefault="00F71D70" w:rsidP="00F71D70">
      <w:pPr>
        <w:pStyle w:val="TOC1"/>
        <w:rPr>
          <w:rFonts w:asciiTheme="minorHAnsi" w:eastAsiaTheme="minorEastAsia" w:hAnsiTheme="minorHAnsi" w:cstheme="minorBidi"/>
          <w:bCs w:val="0"/>
          <w:noProof/>
          <w:sz w:val="22"/>
        </w:rPr>
      </w:pPr>
      <w:r>
        <w:rPr>
          <w:rtl/>
        </w:rPr>
        <w:fldChar w:fldCharType="begin"/>
      </w:r>
      <w:r>
        <w:rPr>
          <w:rtl/>
        </w:rPr>
        <w:instrText xml:space="preserve"> </w:instrText>
      </w:r>
      <w:r>
        <w:instrText xml:space="preserve">TOC </w:instrText>
      </w:r>
      <w:r>
        <w:rPr>
          <w:rtl/>
        </w:rPr>
        <w:instrText>\</w:instrText>
      </w:r>
      <w:r>
        <w:instrText>o "1-9" \h \z \t "Table SideHeading,3,Table Head,2,Head HatzaotHok,1,Head DivreiHesber,2,Head HatzaotHok4Futer,1"</w:instrText>
      </w:r>
      <w:r>
        <w:rPr>
          <w:rtl/>
        </w:rPr>
        <w:instrText xml:space="preserve"> </w:instrText>
      </w:r>
      <w:r>
        <w:rPr>
          <w:rtl/>
        </w:rPr>
        <w:fldChar w:fldCharType="separate"/>
      </w:r>
      <w:hyperlink w:anchor="_Toc110426728" w:history="1">
        <w:r w:rsidRPr="001676B2">
          <w:rPr>
            <w:rStyle w:val="Hyperlink"/>
            <w:noProof/>
            <w:rtl/>
          </w:rPr>
          <w:t>טיוטת צו</w:t>
        </w:r>
        <w:r>
          <w:rPr>
            <w:noProof/>
            <w:webHidden/>
          </w:rPr>
          <w:tab/>
        </w:r>
        <w:r>
          <w:rPr>
            <w:noProof/>
            <w:webHidden/>
          </w:rPr>
          <w:fldChar w:fldCharType="begin"/>
        </w:r>
        <w:r>
          <w:rPr>
            <w:noProof/>
            <w:webHidden/>
          </w:rPr>
          <w:instrText xml:space="preserve"> PAGEREF _Toc110426728 \h </w:instrText>
        </w:r>
        <w:r>
          <w:rPr>
            <w:noProof/>
            <w:webHidden/>
          </w:rPr>
        </w:r>
        <w:r>
          <w:rPr>
            <w:noProof/>
            <w:webHidden/>
          </w:rPr>
          <w:fldChar w:fldCharType="separate"/>
        </w:r>
        <w:r>
          <w:rPr>
            <w:noProof/>
            <w:webHidden/>
          </w:rPr>
          <w:t>2</w:t>
        </w:r>
        <w:r>
          <w:rPr>
            <w:noProof/>
            <w:webHidden/>
          </w:rPr>
          <w:fldChar w:fldCharType="end"/>
        </w:r>
      </w:hyperlink>
    </w:p>
    <w:p w:rsidR="00F71D70" w:rsidRDefault="00255AFC" w:rsidP="00F71D70">
      <w:pPr>
        <w:pStyle w:val="TOC4"/>
        <w:rPr>
          <w:rFonts w:cstheme="minorBidi"/>
        </w:rPr>
      </w:pPr>
      <w:hyperlink w:anchor="_Toc110426729" w:history="1">
        <w:r w:rsidR="00F71D70" w:rsidRPr="001676B2">
          <w:rPr>
            <w:rStyle w:val="Hyperlink"/>
            <w:rtl/>
          </w:rPr>
          <w:t>א. שם הצו המוצע</w:t>
        </w:r>
        <w:r w:rsidR="00F71D70">
          <w:rPr>
            <w:webHidden/>
          </w:rPr>
          <w:tab/>
        </w:r>
        <w:r w:rsidR="00F71D70">
          <w:rPr>
            <w:webHidden/>
          </w:rPr>
          <w:fldChar w:fldCharType="begin"/>
        </w:r>
        <w:r w:rsidR="00F71D70">
          <w:rPr>
            <w:webHidden/>
          </w:rPr>
          <w:instrText xml:space="preserve"> PAGEREF _Toc110426729 \h </w:instrText>
        </w:r>
        <w:r w:rsidR="00F71D70">
          <w:rPr>
            <w:webHidden/>
          </w:rPr>
        </w:r>
        <w:r w:rsidR="00F71D70">
          <w:rPr>
            <w:webHidden/>
          </w:rPr>
          <w:fldChar w:fldCharType="separate"/>
        </w:r>
        <w:r w:rsidR="00F71D70">
          <w:rPr>
            <w:webHidden/>
          </w:rPr>
          <w:t>2</w:t>
        </w:r>
        <w:r w:rsidR="00F71D70">
          <w:rPr>
            <w:webHidden/>
          </w:rPr>
          <w:fldChar w:fldCharType="end"/>
        </w:r>
      </w:hyperlink>
    </w:p>
    <w:p w:rsidR="00F71D70" w:rsidRDefault="00255AFC" w:rsidP="00F71D70">
      <w:pPr>
        <w:pStyle w:val="TOC4"/>
        <w:rPr>
          <w:rFonts w:cstheme="minorBidi"/>
        </w:rPr>
      </w:pPr>
      <w:hyperlink w:anchor="_Toc110426730" w:history="1">
        <w:r w:rsidR="00F71D70" w:rsidRPr="001676B2">
          <w:rPr>
            <w:rStyle w:val="Hyperlink"/>
            <w:rtl/>
          </w:rPr>
          <w:t>ב. מטרת הצו המוצע והצורך בו</w:t>
        </w:r>
        <w:r w:rsidR="00F71D70">
          <w:rPr>
            <w:webHidden/>
          </w:rPr>
          <w:tab/>
        </w:r>
        <w:r w:rsidR="00F71D70">
          <w:rPr>
            <w:webHidden/>
          </w:rPr>
          <w:fldChar w:fldCharType="begin"/>
        </w:r>
        <w:r w:rsidR="00F71D70">
          <w:rPr>
            <w:webHidden/>
          </w:rPr>
          <w:instrText xml:space="preserve"> PAGEREF _Toc110426730 \h </w:instrText>
        </w:r>
        <w:r w:rsidR="00F71D70">
          <w:rPr>
            <w:webHidden/>
          </w:rPr>
        </w:r>
        <w:r w:rsidR="00F71D70">
          <w:rPr>
            <w:webHidden/>
          </w:rPr>
          <w:fldChar w:fldCharType="separate"/>
        </w:r>
        <w:r w:rsidR="00F71D70">
          <w:rPr>
            <w:webHidden/>
          </w:rPr>
          <w:t>2</w:t>
        </w:r>
        <w:r w:rsidR="00F71D70">
          <w:rPr>
            <w:webHidden/>
          </w:rPr>
          <w:fldChar w:fldCharType="end"/>
        </w:r>
      </w:hyperlink>
    </w:p>
    <w:p w:rsidR="00F71D70" w:rsidRDefault="00255AFC" w:rsidP="00F71D70">
      <w:pPr>
        <w:pStyle w:val="TOC1"/>
        <w:rPr>
          <w:rFonts w:asciiTheme="minorHAnsi" w:eastAsiaTheme="minorEastAsia" w:hAnsiTheme="minorHAnsi" w:cstheme="minorBidi"/>
          <w:bCs w:val="0"/>
          <w:noProof/>
          <w:sz w:val="22"/>
        </w:rPr>
      </w:pPr>
      <w:hyperlink w:anchor="_Toc110426732" w:history="1">
        <w:r w:rsidR="00F71D70" w:rsidRPr="001676B2">
          <w:rPr>
            <w:rStyle w:val="Hyperlink"/>
            <w:noProof/>
            <w:rtl/>
          </w:rPr>
          <w:t>טיוטת צו יבוא חופשי (תיקון), התשפ"ב - 2022</w:t>
        </w:r>
        <w:r w:rsidR="00F71D70">
          <w:rPr>
            <w:noProof/>
            <w:webHidden/>
          </w:rPr>
          <w:tab/>
        </w:r>
        <w:r w:rsidR="00F71D70">
          <w:rPr>
            <w:noProof/>
            <w:webHidden/>
          </w:rPr>
          <w:fldChar w:fldCharType="begin"/>
        </w:r>
        <w:r w:rsidR="00F71D70">
          <w:rPr>
            <w:noProof/>
            <w:webHidden/>
          </w:rPr>
          <w:instrText xml:space="preserve"> PAGEREF _Toc110426732 \h </w:instrText>
        </w:r>
        <w:r w:rsidR="00F71D70">
          <w:rPr>
            <w:noProof/>
            <w:webHidden/>
          </w:rPr>
        </w:r>
        <w:r w:rsidR="00F71D70">
          <w:rPr>
            <w:noProof/>
            <w:webHidden/>
          </w:rPr>
          <w:fldChar w:fldCharType="separate"/>
        </w:r>
        <w:r w:rsidR="00F71D70">
          <w:rPr>
            <w:noProof/>
            <w:webHidden/>
          </w:rPr>
          <w:t>3</w:t>
        </w:r>
        <w:r w:rsidR="00F71D70">
          <w:rPr>
            <w:noProof/>
            <w:webHidden/>
          </w:rPr>
          <w:fldChar w:fldCharType="end"/>
        </w:r>
      </w:hyperlink>
    </w:p>
    <w:p w:rsidR="00F71D70" w:rsidRDefault="00255AFC" w:rsidP="00F71D70">
      <w:pPr>
        <w:pStyle w:val="TOC3"/>
        <w:rPr>
          <w:rFonts w:asciiTheme="minorHAnsi" w:eastAsiaTheme="minorEastAsia" w:hAnsiTheme="minorHAnsi" w:cstheme="minorBidi"/>
          <w:noProof/>
          <w:sz w:val="22"/>
        </w:rPr>
      </w:pPr>
      <w:hyperlink w:anchor="_Toc110426733" w:history="1">
        <w:r w:rsidR="00F71D70" w:rsidRPr="001676B2">
          <w:rPr>
            <w:rStyle w:val="Hyperlink"/>
            <w:noProof/>
            <w:rtl/>
          </w:rPr>
          <w:t>תיקון התוספת השניה</w:t>
        </w:r>
        <w:r w:rsidR="00F71D70">
          <w:rPr>
            <w:noProof/>
            <w:webHidden/>
          </w:rPr>
          <w:tab/>
        </w:r>
        <w:r w:rsidR="00F71D70">
          <w:rPr>
            <w:noProof/>
            <w:webHidden/>
          </w:rPr>
          <w:fldChar w:fldCharType="begin"/>
        </w:r>
        <w:r w:rsidR="00F71D70">
          <w:rPr>
            <w:noProof/>
            <w:webHidden/>
          </w:rPr>
          <w:instrText xml:space="preserve"> PAGEREF _Toc110426733 \h </w:instrText>
        </w:r>
        <w:r w:rsidR="00F71D70">
          <w:rPr>
            <w:noProof/>
            <w:webHidden/>
          </w:rPr>
        </w:r>
        <w:r w:rsidR="00F71D70">
          <w:rPr>
            <w:noProof/>
            <w:webHidden/>
          </w:rPr>
          <w:fldChar w:fldCharType="separate"/>
        </w:r>
        <w:r w:rsidR="00F71D70">
          <w:rPr>
            <w:noProof/>
            <w:webHidden/>
          </w:rPr>
          <w:t>3</w:t>
        </w:r>
        <w:r w:rsidR="00F71D70">
          <w:rPr>
            <w:noProof/>
            <w:webHidden/>
          </w:rPr>
          <w:fldChar w:fldCharType="end"/>
        </w:r>
      </w:hyperlink>
    </w:p>
    <w:p w:rsidR="00F71D70" w:rsidRDefault="00255AFC" w:rsidP="00F71D70">
      <w:pPr>
        <w:pStyle w:val="TOC3"/>
        <w:rPr>
          <w:rFonts w:asciiTheme="minorHAnsi" w:eastAsiaTheme="minorEastAsia" w:hAnsiTheme="minorHAnsi" w:cstheme="minorBidi"/>
          <w:noProof/>
          <w:sz w:val="22"/>
        </w:rPr>
      </w:pPr>
      <w:hyperlink w:anchor="_Toc110426734" w:history="1">
        <w:r w:rsidR="00F71D70" w:rsidRPr="001676B2">
          <w:rPr>
            <w:rStyle w:val="Hyperlink"/>
            <w:noProof/>
            <w:rtl/>
          </w:rPr>
          <w:t>תחילה</w:t>
        </w:r>
        <w:r w:rsidR="00F71D70">
          <w:rPr>
            <w:noProof/>
            <w:webHidden/>
          </w:rPr>
          <w:tab/>
        </w:r>
        <w:r w:rsidR="00F71D70">
          <w:rPr>
            <w:noProof/>
            <w:webHidden/>
          </w:rPr>
          <w:fldChar w:fldCharType="begin"/>
        </w:r>
        <w:r w:rsidR="00F71D70">
          <w:rPr>
            <w:noProof/>
            <w:webHidden/>
          </w:rPr>
          <w:instrText xml:space="preserve"> PAGEREF _Toc110426734 \h </w:instrText>
        </w:r>
        <w:r w:rsidR="00F71D70">
          <w:rPr>
            <w:noProof/>
            <w:webHidden/>
          </w:rPr>
        </w:r>
        <w:r w:rsidR="00F71D70">
          <w:rPr>
            <w:noProof/>
            <w:webHidden/>
          </w:rPr>
          <w:fldChar w:fldCharType="separate"/>
        </w:r>
        <w:r w:rsidR="00F71D70">
          <w:rPr>
            <w:noProof/>
            <w:webHidden/>
          </w:rPr>
          <w:t>3</w:t>
        </w:r>
        <w:r w:rsidR="00F71D70">
          <w:rPr>
            <w:noProof/>
            <w:webHidden/>
          </w:rPr>
          <w:fldChar w:fldCharType="end"/>
        </w:r>
      </w:hyperlink>
    </w:p>
    <w:p w:rsidR="00F71D70" w:rsidRDefault="00255AFC" w:rsidP="00F71D70">
      <w:pPr>
        <w:pStyle w:val="TOC2"/>
        <w:rPr>
          <w:rFonts w:asciiTheme="minorHAnsi" w:eastAsiaTheme="minorEastAsia" w:hAnsiTheme="minorHAnsi" w:cstheme="minorBidi"/>
          <w:noProof/>
          <w:sz w:val="22"/>
        </w:rPr>
      </w:pPr>
      <w:hyperlink w:anchor="_Toc110426735" w:history="1">
        <w:r w:rsidR="00F71D70" w:rsidRPr="001676B2">
          <w:rPr>
            <w:rStyle w:val="Hyperlink"/>
            <w:noProof/>
            <w:rtl/>
          </w:rPr>
          <w:t>דברי הסבר</w:t>
        </w:r>
        <w:r w:rsidR="00F71D70">
          <w:rPr>
            <w:noProof/>
            <w:webHidden/>
          </w:rPr>
          <w:tab/>
        </w:r>
        <w:r w:rsidR="00F71D70">
          <w:rPr>
            <w:noProof/>
            <w:webHidden/>
          </w:rPr>
          <w:fldChar w:fldCharType="begin"/>
        </w:r>
        <w:r w:rsidR="00F71D70">
          <w:rPr>
            <w:noProof/>
            <w:webHidden/>
          </w:rPr>
          <w:instrText xml:space="preserve"> PAGEREF _Toc110426735 \h </w:instrText>
        </w:r>
        <w:r w:rsidR="00F71D70">
          <w:rPr>
            <w:noProof/>
            <w:webHidden/>
          </w:rPr>
        </w:r>
        <w:r w:rsidR="00F71D70">
          <w:rPr>
            <w:noProof/>
            <w:webHidden/>
          </w:rPr>
          <w:fldChar w:fldCharType="separate"/>
        </w:r>
        <w:r w:rsidR="00F71D70">
          <w:rPr>
            <w:noProof/>
            <w:webHidden/>
          </w:rPr>
          <w:t>3</w:t>
        </w:r>
        <w:r w:rsidR="00F71D70">
          <w:rPr>
            <w:noProof/>
            <w:webHidden/>
          </w:rPr>
          <w:fldChar w:fldCharType="end"/>
        </w:r>
      </w:hyperlink>
    </w:p>
    <w:p w:rsidR="00F71D70" w:rsidRDefault="00F71D70" w:rsidP="00F71D70">
      <w:pPr>
        <w:rPr>
          <w:snapToGrid w:val="0"/>
          <w:rtl/>
        </w:rPr>
      </w:pPr>
      <w:r>
        <w:rPr>
          <w:rtl/>
        </w:rPr>
        <w:fldChar w:fldCharType="end"/>
      </w:r>
      <w:r>
        <w:rPr>
          <w:rtl/>
        </w:rPr>
        <w:br w:type="page"/>
      </w:r>
    </w:p>
    <w:p w:rsidR="00165A7F" w:rsidRDefault="00165A7F" w:rsidP="00307E94">
      <w:pPr>
        <w:pStyle w:val="1"/>
        <w:keepNext w:val="0"/>
        <w:keepLines w:val="0"/>
      </w:pPr>
      <w:bookmarkStart w:id="1" w:name="_Toc110426715"/>
      <w:bookmarkStart w:id="2" w:name="_Toc110426728"/>
      <w:r>
        <w:rPr>
          <w:rtl/>
        </w:rPr>
        <w:lastRenderedPageBreak/>
        <w:t>טיוטת צו</w:t>
      </w:r>
      <w:bookmarkEnd w:id="1"/>
      <w:bookmarkEnd w:id="2"/>
    </w:p>
    <w:p w:rsidR="00165A7F" w:rsidRDefault="00165A7F" w:rsidP="00307E94">
      <w:pPr>
        <w:rPr>
          <w:rtl/>
        </w:rPr>
      </w:pPr>
    </w:p>
    <w:p w:rsidR="00165A7F" w:rsidRDefault="00165A7F" w:rsidP="00F24A78">
      <w:pPr>
        <w:pStyle w:val="4"/>
        <w:rPr>
          <w:rtl/>
        </w:rPr>
      </w:pPr>
      <w:bookmarkStart w:id="3" w:name="_Toc110426729"/>
      <w:r>
        <w:rPr>
          <w:rFonts w:hint="cs"/>
          <w:rtl/>
        </w:rPr>
        <w:t>שם הצו המוצע</w:t>
      </w:r>
      <w:bookmarkEnd w:id="3"/>
    </w:p>
    <w:p w:rsidR="00165A7F" w:rsidRDefault="00165A7F" w:rsidP="00796A7A">
      <w:r>
        <w:rPr>
          <w:rFonts w:hint="cs"/>
          <w:rtl/>
        </w:rPr>
        <w:t xml:space="preserve">צו יבוא חופשי (תיקון), </w:t>
      </w:r>
      <w:proofErr w:type="spellStart"/>
      <w:r>
        <w:rPr>
          <w:rFonts w:hint="cs"/>
          <w:rtl/>
        </w:rPr>
        <w:t>התשפ"ב</w:t>
      </w:r>
      <w:proofErr w:type="spellEnd"/>
      <w:r>
        <w:rPr>
          <w:rFonts w:hint="cs"/>
          <w:rtl/>
        </w:rPr>
        <w:t xml:space="preserve"> - 2022</w:t>
      </w:r>
    </w:p>
    <w:p w:rsidR="00165A7F" w:rsidRDefault="00165A7F" w:rsidP="00307E94">
      <w:pPr>
        <w:rPr>
          <w:rtl/>
        </w:rPr>
      </w:pPr>
    </w:p>
    <w:p w:rsidR="00165A7F" w:rsidRDefault="00165A7F" w:rsidP="00307E94">
      <w:pPr>
        <w:rPr>
          <w:rtl/>
        </w:rPr>
      </w:pPr>
    </w:p>
    <w:p w:rsidR="00165A7F" w:rsidRDefault="00165A7F" w:rsidP="00165A7F">
      <w:pPr>
        <w:pStyle w:val="4"/>
        <w:rPr>
          <w:rtl/>
        </w:rPr>
      </w:pPr>
      <w:bookmarkStart w:id="4" w:name="_Toc110426730"/>
      <w:r>
        <w:rPr>
          <w:rFonts w:hint="cs"/>
          <w:rtl/>
        </w:rPr>
        <w:t>מטרת הצו המוצע והצורך בו</w:t>
      </w:r>
      <w:bookmarkEnd w:id="4"/>
      <w:r>
        <w:rPr>
          <w:rFonts w:hint="cs"/>
          <w:rtl/>
        </w:rPr>
        <w:t xml:space="preserve"> </w:t>
      </w:r>
    </w:p>
    <w:p w:rsidR="0032334F" w:rsidRDefault="0032334F" w:rsidP="0032334F">
      <w:pPr>
        <w:rPr>
          <w:rtl/>
        </w:rPr>
      </w:pPr>
      <w:r>
        <w:rPr>
          <w:rFonts w:hint="cs"/>
          <w:rtl/>
        </w:rPr>
        <w:t xml:space="preserve">כיום, צו יבוא חופשי, </w:t>
      </w:r>
      <w:proofErr w:type="spellStart"/>
      <w:r>
        <w:rPr>
          <w:rFonts w:hint="cs"/>
          <w:rtl/>
        </w:rPr>
        <w:t>התשע"ד</w:t>
      </w:r>
      <w:proofErr w:type="spellEnd"/>
      <w:r>
        <w:rPr>
          <w:rFonts w:hint="cs"/>
          <w:rtl/>
        </w:rPr>
        <w:t xml:space="preserve"> </w:t>
      </w:r>
      <w:r>
        <w:rPr>
          <w:rtl/>
        </w:rPr>
        <w:t>–</w:t>
      </w:r>
      <w:r>
        <w:rPr>
          <w:rFonts w:hint="cs"/>
          <w:rtl/>
        </w:rPr>
        <w:t xml:space="preserve"> 2014, דורש הצגת אישור יבוא כתנאי לכניסת מדי מים לישראל. עם זאת, דרישה זו אינה מחויבת מהוראות </w:t>
      </w:r>
      <w:r w:rsidRPr="00165A7F">
        <w:rPr>
          <w:rtl/>
        </w:rPr>
        <w:t>חוק מדידת מים, תשט"ו – 1955 והכללים שהותקנו מכוחו</w:t>
      </w:r>
      <w:r w:rsidRPr="00165A7F">
        <w:rPr>
          <w:rFonts w:hint="cs"/>
          <w:rtl/>
        </w:rPr>
        <w:t>, אשר</w:t>
      </w:r>
      <w:r w:rsidRPr="00165A7F">
        <w:rPr>
          <w:rtl/>
        </w:rPr>
        <w:t xml:space="preserve"> אינם מחילים חובות כלשהם על יבוא מדי מים</w:t>
      </w:r>
      <w:r>
        <w:rPr>
          <w:rFonts w:hint="cs"/>
          <w:rtl/>
        </w:rPr>
        <w:t xml:space="preserve"> לרבות קביעת מניעה או מגבלה בהכנסת מדי מים לישראל. מאידך, נמצא כי האסדרה האמורה</w:t>
      </w:r>
      <w:r w:rsidRPr="00165A7F">
        <w:rPr>
          <w:rFonts w:hint="cs"/>
          <w:rtl/>
        </w:rPr>
        <w:t xml:space="preserve"> </w:t>
      </w:r>
      <w:r>
        <w:rPr>
          <w:rFonts w:hint="cs"/>
          <w:rtl/>
        </w:rPr>
        <w:t>קובעת הוראות בדבר</w:t>
      </w:r>
      <w:r w:rsidRPr="00165A7F">
        <w:rPr>
          <w:rFonts w:hint="cs"/>
          <w:rtl/>
        </w:rPr>
        <w:t xml:space="preserve"> </w:t>
      </w:r>
      <w:r>
        <w:rPr>
          <w:rFonts w:hint="cs"/>
          <w:rtl/>
        </w:rPr>
        <w:t xml:space="preserve">השימוש </w:t>
      </w:r>
      <w:r w:rsidRPr="00165A7F">
        <w:rPr>
          <w:rFonts w:hint="cs"/>
          <w:rtl/>
        </w:rPr>
        <w:t>במדי מים בתחומי מדינת ישראל</w:t>
      </w:r>
      <w:r w:rsidRPr="00165A7F">
        <w:rPr>
          <w:rtl/>
        </w:rPr>
        <w:t xml:space="preserve">. </w:t>
      </w:r>
    </w:p>
    <w:p w:rsidR="0032334F" w:rsidRDefault="0032334F" w:rsidP="0032334F">
      <w:pPr>
        <w:rPr>
          <w:rtl/>
        </w:rPr>
      </w:pPr>
      <w:r w:rsidRPr="00695D6F">
        <w:rPr>
          <w:rFonts w:hint="cs"/>
          <w:rtl/>
        </w:rPr>
        <w:t>לאור האמור, מוצע לתקן את צו יבוא חופשי כך שתוסר ממנו הדרישה להצגת אישור יבוא כתנאי ליבוא מדי מים לישראל</w:t>
      </w:r>
      <w:r>
        <w:rPr>
          <w:rFonts w:hint="cs"/>
          <w:rtl/>
        </w:rPr>
        <w:t>.</w:t>
      </w:r>
      <w:r w:rsidRPr="00695D6F">
        <w:rPr>
          <w:rFonts w:hint="cs"/>
          <w:rtl/>
        </w:rPr>
        <w:t xml:space="preserve"> </w:t>
      </w:r>
      <w:r>
        <w:rPr>
          <w:rFonts w:hint="cs"/>
          <w:rtl/>
        </w:rPr>
        <w:t>יצוין כי בסמוך להסרת המגבלה האמורה, רשות המים צפויה להוסיף ולאכוף את האיסורים הקבועים בחוק ביחס לשימוש במדי מים בתוך תחומי ישראל. לצורך היערכות משק המים, רשות המים והמפוקחים על ידה לרבות בקשר עם הרחבת האכיפה על שימוש במדי מים בתוך מדינת ישראל, מוצע לקבוע לצו מועד תחולה מאוחר של חצי שנה מיום פרסום התיקון.</w:t>
      </w:r>
    </w:p>
    <w:p w:rsidR="00165A7F" w:rsidRDefault="00165A7F" w:rsidP="00307E94">
      <w:pPr>
        <w:rPr>
          <w:rtl/>
        </w:rPr>
      </w:pPr>
    </w:p>
    <w:p w:rsidR="00165A7F" w:rsidRDefault="00165A7F" w:rsidP="00307E94">
      <w:pPr>
        <w:rPr>
          <w:rtl/>
        </w:rPr>
      </w:pPr>
    </w:p>
    <w:p w:rsidR="00165A7F" w:rsidRDefault="00165A7F" w:rsidP="00F24A78">
      <w:pPr>
        <w:pStyle w:val="4"/>
        <w:rPr>
          <w:rtl/>
        </w:rPr>
      </w:pPr>
      <w:bookmarkStart w:id="5" w:name="_Toc110426731"/>
      <w:r>
        <w:rPr>
          <w:rFonts w:hint="cs"/>
          <w:rtl/>
        </w:rPr>
        <w:t>להלן נוסח טיוטת הצו המוצע:</w:t>
      </w:r>
      <w:bookmarkEnd w:id="5"/>
      <w:r>
        <w:rPr>
          <w:rFonts w:hint="cs"/>
          <w:rtl/>
        </w:rPr>
        <w:t xml:space="preserve"> </w:t>
      </w:r>
    </w:p>
    <w:p w:rsidR="00165A7F" w:rsidRDefault="00165A7F" w:rsidP="00307E94">
      <w:pPr>
        <w:bidi w:val="0"/>
        <w:rPr>
          <w:rtl/>
        </w:rPr>
      </w:pPr>
      <w:r>
        <w:rPr>
          <w:rtl/>
        </w:rPr>
        <w:br w:type="page"/>
      </w:r>
    </w:p>
    <w:p w:rsidR="00165A7F" w:rsidRDefault="00165A7F" w:rsidP="00165A7F">
      <w:pPr>
        <w:pStyle w:val="HeadMitparsemetBaze"/>
        <w:keepNext w:val="0"/>
        <w:keepLines w:val="0"/>
        <w:pageBreakBefore w:val="0"/>
        <w:rPr>
          <w:rtl/>
        </w:rPr>
      </w:pPr>
      <w:r>
        <w:rPr>
          <w:rtl/>
        </w:rPr>
        <w:lastRenderedPageBreak/>
        <w:t>טיוטת צו מטעם משרד</w:t>
      </w:r>
      <w:r>
        <w:rPr>
          <w:rFonts w:hint="cs"/>
          <w:rtl/>
        </w:rPr>
        <w:t xml:space="preserve"> הכלכלה והתעשייה</w:t>
      </w:r>
      <w:r>
        <w:rPr>
          <w:rtl/>
        </w:rPr>
        <w:t xml:space="preserve">: </w:t>
      </w:r>
    </w:p>
    <w:p w:rsidR="00165A7F" w:rsidRDefault="00165A7F" w:rsidP="00796A7A">
      <w:pPr>
        <w:pStyle w:val="HeadHatzaotHok"/>
        <w:keepNext w:val="0"/>
        <w:keepLines w:val="0"/>
        <w:rPr>
          <w:rtl/>
        </w:rPr>
      </w:pPr>
      <w:bookmarkStart w:id="6" w:name="_Toc110426716"/>
      <w:bookmarkStart w:id="7" w:name="_Toc110426732"/>
      <w:r>
        <w:rPr>
          <w:rtl/>
        </w:rPr>
        <w:t xml:space="preserve">טיוטת </w:t>
      </w:r>
      <w:r>
        <w:rPr>
          <w:rFonts w:hint="cs"/>
          <w:rtl/>
        </w:rPr>
        <w:t xml:space="preserve">צו יבוא </w:t>
      </w:r>
      <w:r w:rsidR="0092116C">
        <w:rPr>
          <w:rFonts w:hint="cs"/>
          <w:rtl/>
        </w:rPr>
        <w:t xml:space="preserve">חופשי (תיקון), </w:t>
      </w:r>
      <w:proofErr w:type="spellStart"/>
      <w:r w:rsidR="0092116C">
        <w:rPr>
          <w:rFonts w:hint="cs"/>
          <w:rtl/>
        </w:rPr>
        <w:t>התשפ"ב</w:t>
      </w:r>
      <w:proofErr w:type="spellEnd"/>
      <w:r w:rsidR="0092116C">
        <w:rPr>
          <w:rFonts w:hint="cs"/>
          <w:rtl/>
        </w:rPr>
        <w:t xml:space="preserve"> -</w:t>
      </w:r>
      <w:r>
        <w:rPr>
          <w:rFonts w:hint="cs"/>
          <w:rtl/>
        </w:rPr>
        <w:t xml:space="preserve"> 2022</w:t>
      </w:r>
      <w:bookmarkEnd w:id="6"/>
      <w:bookmarkEnd w:id="7"/>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6"/>
      </w:tblGrid>
      <w:tr w:rsidR="00165A7F" w:rsidTr="00165A7F">
        <w:trPr>
          <w:cantSplit/>
          <w:trHeight w:val="60"/>
        </w:trPr>
        <w:tc>
          <w:tcPr>
            <w:tcW w:w="1871" w:type="dxa"/>
          </w:tcPr>
          <w:p w:rsidR="00165A7F" w:rsidRDefault="00165A7F" w:rsidP="00165A7F">
            <w:pPr>
              <w:pStyle w:val="TableSideHeading"/>
              <w:rPr>
                <w:rtl/>
              </w:rPr>
            </w:pPr>
          </w:p>
        </w:tc>
        <w:tc>
          <w:tcPr>
            <w:tcW w:w="624" w:type="dxa"/>
          </w:tcPr>
          <w:p w:rsidR="00165A7F" w:rsidRDefault="00165A7F" w:rsidP="00165A7F">
            <w:pPr>
              <w:pStyle w:val="TableText"/>
            </w:pPr>
          </w:p>
        </w:tc>
        <w:tc>
          <w:tcPr>
            <w:tcW w:w="7146" w:type="dxa"/>
            <w:hideMark/>
          </w:tcPr>
          <w:p w:rsidR="00165A7F" w:rsidRPr="00C244ED" w:rsidRDefault="00165A7F" w:rsidP="00165A7F">
            <w:pPr>
              <w:pStyle w:val="TableBlock"/>
            </w:pPr>
            <w:bookmarkStart w:id="8" w:name="_Toc39391316"/>
            <w:bookmarkStart w:id="9" w:name="_Toc55819463"/>
            <w:bookmarkStart w:id="10" w:name="_Toc55819483"/>
            <w:bookmarkStart w:id="11" w:name="_Toc59550345"/>
            <w:bookmarkStart w:id="12" w:name="_Toc59550361"/>
            <w:r w:rsidRPr="00C244ED">
              <w:rPr>
                <w:rFonts w:hint="cs"/>
                <w:sz w:val="26"/>
                <w:rtl/>
              </w:rPr>
              <w:t xml:space="preserve">בתוקף סמכותי לפי סעיף 2 לפקודת היבוא והיצוא [נוסח חדש], </w:t>
            </w:r>
            <w:proofErr w:type="spellStart"/>
            <w:r w:rsidRPr="00C244ED">
              <w:rPr>
                <w:rFonts w:hint="cs"/>
                <w:sz w:val="26"/>
                <w:rtl/>
              </w:rPr>
              <w:t>התשל"ט</w:t>
            </w:r>
            <w:proofErr w:type="spellEnd"/>
            <w:r w:rsidRPr="00C244ED">
              <w:rPr>
                <w:rFonts w:hint="eastAsia"/>
                <w:sz w:val="26"/>
                <w:rtl/>
              </w:rPr>
              <w:t>–</w:t>
            </w:r>
            <w:r w:rsidRPr="00C244ED">
              <w:rPr>
                <w:rFonts w:hint="cs"/>
                <w:sz w:val="26"/>
                <w:rtl/>
              </w:rPr>
              <w:t>1979</w:t>
            </w:r>
            <w:r w:rsidRPr="00C244ED">
              <w:rPr>
                <w:rStyle w:val="a7"/>
                <w:sz w:val="26"/>
                <w:rtl/>
              </w:rPr>
              <w:footnoteReference w:id="1"/>
            </w:r>
            <w:r w:rsidRPr="00C244ED">
              <w:rPr>
                <w:rFonts w:hint="cs"/>
                <w:sz w:val="26"/>
                <w:rtl/>
              </w:rPr>
              <w:t>, אני מצווה לאמור:</w:t>
            </w:r>
            <w:bookmarkEnd w:id="8"/>
            <w:bookmarkEnd w:id="9"/>
            <w:bookmarkEnd w:id="10"/>
            <w:bookmarkEnd w:id="11"/>
            <w:bookmarkEnd w:id="12"/>
          </w:p>
        </w:tc>
      </w:tr>
      <w:tr w:rsidR="00165A7F" w:rsidTr="00165A7F">
        <w:trPr>
          <w:cantSplit/>
          <w:trHeight w:val="60"/>
        </w:trPr>
        <w:tc>
          <w:tcPr>
            <w:tcW w:w="1871" w:type="dxa"/>
          </w:tcPr>
          <w:p w:rsidR="00165A7F" w:rsidRDefault="00165A7F" w:rsidP="00165A7F">
            <w:pPr>
              <w:pStyle w:val="TableSideHeading"/>
            </w:pPr>
          </w:p>
        </w:tc>
        <w:tc>
          <w:tcPr>
            <w:tcW w:w="624" w:type="dxa"/>
          </w:tcPr>
          <w:p w:rsidR="00165A7F" w:rsidRDefault="00165A7F" w:rsidP="00165A7F">
            <w:pPr>
              <w:pStyle w:val="TableText"/>
            </w:pPr>
          </w:p>
        </w:tc>
        <w:tc>
          <w:tcPr>
            <w:tcW w:w="7146" w:type="dxa"/>
          </w:tcPr>
          <w:p w:rsidR="00165A7F" w:rsidRDefault="00165A7F" w:rsidP="00165A7F">
            <w:pPr>
              <w:pStyle w:val="TableHead"/>
            </w:pPr>
          </w:p>
        </w:tc>
      </w:tr>
      <w:tr w:rsidR="00165A7F" w:rsidTr="00165A7F">
        <w:trPr>
          <w:cantSplit/>
          <w:trHeight w:val="60"/>
        </w:trPr>
        <w:tc>
          <w:tcPr>
            <w:tcW w:w="1871" w:type="dxa"/>
          </w:tcPr>
          <w:p w:rsidR="00165A7F" w:rsidRDefault="00165A7F" w:rsidP="00165A7F">
            <w:pPr>
              <w:pStyle w:val="TableSideHeading"/>
            </w:pPr>
            <w:bookmarkStart w:id="13" w:name="_Toc110426717"/>
            <w:bookmarkStart w:id="14" w:name="_Toc110426733"/>
            <w:r>
              <w:rPr>
                <w:rFonts w:hint="cs"/>
                <w:rtl/>
              </w:rPr>
              <w:t xml:space="preserve">תיקון התוספת </w:t>
            </w:r>
            <w:proofErr w:type="spellStart"/>
            <w:r>
              <w:rPr>
                <w:rFonts w:hint="cs"/>
                <w:rtl/>
              </w:rPr>
              <w:t>השניה</w:t>
            </w:r>
            <w:bookmarkEnd w:id="13"/>
            <w:bookmarkEnd w:id="14"/>
            <w:proofErr w:type="spellEnd"/>
          </w:p>
        </w:tc>
        <w:tc>
          <w:tcPr>
            <w:tcW w:w="624" w:type="dxa"/>
          </w:tcPr>
          <w:p w:rsidR="00165A7F" w:rsidRDefault="00165A7F" w:rsidP="00165A7F">
            <w:pPr>
              <w:pStyle w:val="TableText"/>
              <w:numPr>
                <w:ilvl w:val="0"/>
                <w:numId w:val="2"/>
              </w:numPr>
            </w:pPr>
          </w:p>
        </w:tc>
        <w:tc>
          <w:tcPr>
            <w:tcW w:w="7146" w:type="dxa"/>
          </w:tcPr>
          <w:p w:rsidR="00165A7F" w:rsidRDefault="00165A7F" w:rsidP="00165A7F">
            <w:pPr>
              <w:pStyle w:val="TableBlock"/>
            </w:pPr>
            <w:r>
              <w:rPr>
                <w:rFonts w:hint="cs"/>
                <w:rtl/>
              </w:rPr>
              <w:t xml:space="preserve">בתוספת </w:t>
            </w:r>
            <w:proofErr w:type="spellStart"/>
            <w:r>
              <w:rPr>
                <w:rFonts w:hint="cs"/>
                <w:rtl/>
              </w:rPr>
              <w:t>השניה</w:t>
            </w:r>
            <w:proofErr w:type="spellEnd"/>
            <w:r>
              <w:rPr>
                <w:rFonts w:hint="cs"/>
                <w:rtl/>
              </w:rPr>
              <w:t xml:space="preserve"> </w:t>
            </w:r>
            <w:r w:rsidRPr="00C244ED">
              <w:rPr>
                <w:rFonts w:hint="cs"/>
                <w:rtl/>
              </w:rPr>
              <w:t xml:space="preserve">לצו יבוא חופשי, </w:t>
            </w:r>
            <w:proofErr w:type="spellStart"/>
            <w:r w:rsidRPr="00C244ED">
              <w:rPr>
                <w:rFonts w:hint="cs"/>
                <w:rtl/>
              </w:rPr>
              <w:t>התשע"ד</w:t>
            </w:r>
            <w:proofErr w:type="spellEnd"/>
            <w:r w:rsidRPr="00C244ED">
              <w:rPr>
                <w:rFonts w:hint="eastAsia"/>
                <w:rtl/>
              </w:rPr>
              <w:t>–</w:t>
            </w:r>
            <w:r w:rsidRPr="00C244ED">
              <w:rPr>
                <w:rFonts w:hint="cs"/>
                <w:rtl/>
              </w:rPr>
              <w:t>2014</w:t>
            </w:r>
            <w:r w:rsidRPr="00C244ED">
              <w:rPr>
                <w:rStyle w:val="a7"/>
                <w:rtl/>
              </w:rPr>
              <w:footnoteReference w:id="2"/>
            </w:r>
            <w:r>
              <w:rPr>
                <w:rFonts w:hint="cs"/>
                <w:rtl/>
              </w:rPr>
              <w:t xml:space="preserve">, פרט מכס 90.28.201000 </w:t>
            </w:r>
            <w:r>
              <w:rPr>
                <w:rtl/>
              </w:rPr>
              <w:t>–</w:t>
            </w:r>
            <w:r>
              <w:rPr>
                <w:rFonts w:hint="cs"/>
                <w:rtl/>
              </w:rPr>
              <w:t xml:space="preserve"> יימחק.</w:t>
            </w:r>
          </w:p>
        </w:tc>
      </w:tr>
      <w:tr w:rsidR="0092116C" w:rsidTr="00165A7F">
        <w:trPr>
          <w:cantSplit/>
          <w:trHeight w:val="60"/>
        </w:trPr>
        <w:tc>
          <w:tcPr>
            <w:tcW w:w="1871" w:type="dxa"/>
          </w:tcPr>
          <w:p w:rsidR="0092116C" w:rsidRDefault="0092116C" w:rsidP="00165A7F">
            <w:pPr>
              <w:pStyle w:val="TableSideHeading"/>
              <w:rPr>
                <w:rtl/>
              </w:rPr>
            </w:pPr>
            <w:bookmarkStart w:id="15" w:name="_Toc110426718"/>
            <w:bookmarkStart w:id="16" w:name="_Toc110426734"/>
            <w:r>
              <w:rPr>
                <w:rFonts w:hint="cs"/>
                <w:rtl/>
              </w:rPr>
              <w:t>תחילה</w:t>
            </w:r>
            <w:bookmarkEnd w:id="15"/>
            <w:bookmarkEnd w:id="16"/>
          </w:p>
        </w:tc>
        <w:tc>
          <w:tcPr>
            <w:tcW w:w="624" w:type="dxa"/>
          </w:tcPr>
          <w:p w:rsidR="0092116C" w:rsidRDefault="0092116C" w:rsidP="0092116C">
            <w:pPr>
              <w:pStyle w:val="TableText"/>
            </w:pPr>
            <w:r>
              <w:rPr>
                <w:rFonts w:hint="cs"/>
                <w:rtl/>
              </w:rPr>
              <w:t>2.</w:t>
            </w:r>
          </w:p>
        </w:tc>
        <w:tc>
          <w:tcPr>
            <w:tcW w:w="7146" w:type="dxa"/>
          </w:tcPr>
          <w:p w:rsidR="0092116C" w:rsidRDefault="0092116C" w:rsidP="00165A7F">
            <w:pPr>
              <w:pStyle w:val="TableBlock"/>
              <w:rPr>
                <w:rtl/>
              </w:rPr>
            </w:pPr>
            <w:r>
              <w:rPr>
                <w:rFonts w:hint="cs"/>
                <w:rtl/>
              </w:rPr>
              <w:t>תחילתו של צו זה 6 חודשים מיום פרסומו.</w:t>
            </w:r>
          </w:p>
        </w:tc>
      </w:tr>
    </w:tbl>
    <w:p w:rsidR="00165A7F" w:rsidRDefault="00165A7F" w:rsidP="00307E94"/>
    <w:p w:rsidR="00165A7F" w:rsidRDefault="00165A7F" w:rsidP="00307E94">
      <w:pPr>
        <w:rPr>
          <w:rtl/>
        </w:rPr>
      </w:pPr>
    </w:p>
    <w:p w:rsidR="00165A7F" w:rsidRDefault="00165A7F" w:rsidP="00165A7F">
      <w:pPr>
        <w:rPr>
          <w:rFonts w:eastAsia="Calibri"/>
          <w:rtl/>
        </w:rPr>
      </w:pPr>
      <w:r>
        <w:rPr>
          <w:rFonts w:eastAsia="Calibri" w:hint="cs"/>
          <w:rtl/>
        </w:rPr>
        <w:t xml:space="preserve">___ ב________ </w:t>
      </w:r>
      <w:proofErr w:type="spellStart"/>
      <w:r>
        <w:rPr>
          <w:rFonts w:eastAsia="Calibri" w:hint="cs"/>
          <w:rtl/>
        </w:rPr>
        <w:t>התשפ"ב</w:t>
      </w:r>
      <w:proofErr w:type="spellEnd"/>
      <w:r>
        <w:rPr>
          <w:rFonts w:eastAsia="Calibri" w:hint="cs"/>
          <w:rtl/>
        </w:rPr>
        <w:t xml:space="preserve"> (___ ב________ 2022)</w:t>
      </w:r>
    </w:p>
    <w:p w:rsidR="00165A7F" w:rsidRDefault="00165A7F" w:rsidP="00307E94">
      <w:pPr>
        <w:rPr>
          <w:rFonts w:eastAsia="Calibri"/>
          <w:rtl/>
        </w:rPr>
      </w:pPr>
      <w:r>
        <w:rPr>
          <w:rFonts w:eastAsia="Calibri" w:hint="cs"/>
          <w:rtl/>
        </w:rPr>
        <w:t xml:space="preserve"> (</w:t>
      </w:r>
      <w:proofErr w:type="spellStart"/>
      <w:r>
        <w:rPr>
          <w:rFonts w:eastAsia="Calibri" w:hint="cs"/>
          <w:rtl/>
        </w:rPr>
        <w:t>חמ</w:t>
      </w:r>
      <w:proofErr w:type="spellEnd"/>
      <w:r>
        <w:rPr>
          <w:rFonts w:eastAsia="Calibri" w:hint="cs"/>
          <w:rtl/>
        </w:rPr>
        <w:t xml:space="preserve"> _____-3)</w:t>
      </w:r>
    </w:p>
    <w:p w:rsidR="00165A7F" w:rsidRDefault="00165A7F" w:rsidP="00307E94">
      <w:pPr>
        <w:rPr>
          <w:rFonts w:eastAsia="Calibri"/>
          <w:rtl/>
        </w:rPr>
      </w:pPr>
    </w:p>
    <w:p w:rsidR="00165A7F" w:rsidRDefault="00165A7F" w:rsidP="00307E94">
      <w:pPr>
        <w:ind w:left="5760"/>
        <w:jc w:val="center"/>
        <w:rPr>
          <w:rFonts w:eastAsia="Calibri"/>
          <w:rtl/>
        </w:rPr>
      </w:pPr>
      <w:r>
        <w:rPr>
          <w:rFonts w:eastAsia="Calibri" w:hint="cs"/>
          <w:rtl/>
        </w:rPr>
        <w:t xml:space="preserve">אורנה </w:t>
      </w:r>
      <w:proofErr w:type="spellStart"/>
      <w:r>
        <w:rPr>
          <w:rFonts w:eastAsia="Calibri" w:hint="cs"/>
          <w:rtl/>
        </w:rPr>
        <w:t>ברביבאי</w:t>
      </w:r>
      <w:proofErr w:type="spellEnd"/>
    </w:p>
    <w:p w:rsidR="00165A7F" w:rsidRDefault="00165A7F" w:rsidP="00307E94">
      <w:pPr>
        <w:ind w:left="5760"/>
        <w:jc w:val="center"/>
        <w:rPr>
          <w:rFonts w:eastAsia="Calibri"/>
          <w:rtl/>
        </w:rPr>
      </w:pPr>
      <w:r>
        <w:rPr>
          <w:rFonts w:eastAsia="Calibri" w:hint="cs"/>
          <w:rtl/>
        </w:rPr>
        <w:t>שרת הכלכלה והתעשייה</w:t>
      </w:r>
    </w:p>
    <w:p w:rsidR="00165A7F" w:rsidRDefault="00165A7F" w:rsidP="00307E94">
      <w:pPr>
        <w:pStyle w:val="HeadDivreiHesber"/>
        <w:rPr>
          <w:rtl/>
        </w:rPr>
      </w:pPr>
      <w:bookmarkStart w:id="17" w:name="_Toc110426719"/>
      <w:bookmarkStart w:id="18" w:name="_Toc110426735"/>
      <w:r>
        <w:rPr>
          <w:rtl/>
        </w:rPr>
        <w:t>דברי הסבר</w:t>
      </w:r>
      <w:bookmarkEnd w:id="17"/>
      <w:bookmarkEnd w:id="18"/>
    </w:p>
    <w:p w:rsidR="00165A7F" w:rsidRPr="00537828" w:rsidRDefault="00165A7F" w:rsidP="00307E94">
      <w:pPr>
        <w:pStyle w:val="Hesber1st"/>
        <w:tabs>
          <w:tab w:val="clear" w:pos="680"/>
        </w:tabs>
        <w:rPr>
          <w:rtl/>
        </w:rPr>
      </w:pPr>
    </w:p>
    <w:p w:rsidR="00695D6F" w:rsidRDefault="00165A7F" w:rsidP="00C45C22">
      <w:pPr>
        <w:rPr>
          <w:rtl/>
        </w:rPr>
      </w:pPr>
      <w:r>
        <w:rPr>
          <w:rFonts w:hint="cs"/>
          <w:rtl/>
        </w:rPr>
        <w:t xml:space="preserve">כיום, צו יבוא חופשי, </w:t>
      </w:r>
      <w:proofErr w:type="spellStart"/>
      <w:r>
        <w:rPr>
          <w:rFonts w:hint="cs"/>
          <w:rtl/>
        </w:rPr>
        <w:t>התשע"ד</w:t>
      </w:r>
      <w:proofErr w:type="spellEnd"/>
      <w:r>
        <w:rPr>
          <w:rFonts w:hint="cs"/>
          <w:rtl/>
        </w:rPr>
        <w:t xml:space="preserve"> </w:t>
      </w:r>
      <w:r>
        <w:rPr>
          <w:rtl/>
        </w:rPr>
        <w:t>–</w:t>
      </w:r>
      <w:r>
        <w:rPr>
          <w:rFonts w:hint="cs"/>
          <w:rtl/>
        </w:rPr>
        <w:t xml:space="preserve"> 2014, דורש הצגת אישור יבוא כתנאי לכניסת מדי מים לישראל. עם זאת, דרישה זו אינה מחויבת מהוראות </w:t>
      </w:r>
      <w:r w:rsidRPr="00165A7F">
        <w:rPr>
          <w:rtl/>
        </w:rPr>
        <w:t>חוק מדידת מים, תשט"ו – 1955 והכללים שהותקנו מכוחו</w:t>
      </w:r>
      <w:r w:rsidRPr="00165A7F">
        <w:rPr>
          <w:rFonts w:hint="cs"/>
          <w:rtl/>
        </w:rPr>
        <w:t>, אשר</w:t>
      </w:r>
      <w:r w:rsidRPr="00165A7F">
        <w:rPr>
          <w:rtl/>
        </w:rPr>
        <w:t xml:space="preserve"> אינם מחילים חובות כלשהם על יבוא מדי מים</w:t>
      </w:r>
      <w:r w:rsidR="00C45C22">
        <w:rPr>
          <w:rFonts w:hint="cs"/>
          <w:rtl/>
        </w:rPr>
        <w:t xml:space="preserve"> לרבות קביעת מניעה או מגבלה</w:t>
      </w:r>
      <w:r w:rsidR="00695D6F">
        <w:rPr>
          <w:rFonts w:hint="cs"/>
          <w:rtl/>
        </w:rPr>
        <w:t xml:space="preserve"> </w:t>
      </w:r>
      <w:r w:rsidR="00C45C22">
        <w:rPr>
          <w:rFonts w:hint="cs"/>
          <w:rtl/>
        </w:rPr>
        <w:t>ב</w:t>
      </w:r>
      <w:r w:rsidR="00F87B31">
        <w:rPr>
          <w:rFonts w:hint="cs"/>
          <w:rtl/>
        </w:rPr>
        <w:t xml:space="preserve">הכנסת מדי מים לישראל. </w:t>
      </w:r>
      <w:r w:rsidR="00695D6F">
        <w:rPr>
          <w:rFonts w:hint="cs"/>
          <w:rtl/>
        </w:rPr>
        <w:t>מאידך</w:t>
      </w:r>
      <w:r w:rsidR="00C45C22">
        <w:rPr>
          <w:rFonts w:hint="cs"/>
          <w:rtl/>
        </w:rPr>
        <w:t>,</w:t>
      </w:r>
      <w:r w:rsidR="00695D6F">
        <w:rPr>
          <w:rFonts w:hint="cs"/>
          <w:rtl/>
        </w:rPr>
        <w:t xml:space="preserve"> נמצא כי האסדרה האמורה</w:t>
      </w:r>
      <w:r w:rsidRPr="00165A7F">
        <w:rPr>
          <w:rFonts w:hint="cs"/>
          <w:rtl/>
        </w:rPr>
        <w:t xml:space="preserve"> </w:t>
      </w:r>
      <w:r w:rsidR="00695D6F">
        <w:rPr>
          <w:rFonts w:hint="cs"/>
          <w:rtl/>
        </w:rPr>
        <w:t>קובעת הוראות בדבר</w:t>
      </w:r>
      <w:r w:rsidRPr="00165A7F">
        <w:rPr>
          <w:rFonts w:hint="cs"/>
          <w:rtl/>
        </w:rPr>
        <w:t xml:space="preserve"> </w:t>
      </w:r>
      <w:r w:rsidR="00C45C22">
        <w:rPr>
          <w:rFonts w:hint="cs"/>
          <w:rtl/>
        </w:rPr>
        <w:t xml:space="preserve">השימוש </w:t>
      </w:r>
      <w:r w:rsidRPr="00165A7F">
        <w:rPr>
          <w:rFonts w:hint="cs"/>
          <w:rtl/>
        </w:rPr>
        <w:t>במדי מים בתחומי מדינת ישראל</w:t>
      </w:r>
      <w:r w:rsidRPr="00165A7F">
        <w:rPr>
          <w:rtl/>
        </w:rPr>
        <w:t xml:space="preserve">. </w:t>
      </w:r>
    </w:p>
    <w:p w:rsidR="00165A7F" w:rsidRDefault="00695D6F" w:rsidP="00625FB9">
      <w:pPr>
        <w:rPr>
          <w:rtl/>
        </w:rPr>
      </w:pPr>
      <w:r w:rsidRPr="00695D6F">
        <w:rPr>
          <w:rFonts w:hint="cs"/>
          <w:rtl/>
        </w:rPr>
        <w:t>לאור האמור, מוצע לתקן את צו יבוא חופשי כך שתוסר ממנו הדרישה להצגת אישור יבוא כתנאי ליבוא מדי מים לישראל</w:t>
      </w:r>
      <w:r>
        <w:rPr>
          <w:rFonts w:hint="cs"/>
          <w:rtl/>
        </w:rPr>
        <w:t>.</w:t>
      </w:r>
      <w:r w:rsidRPr="00695D6F">
        <w:rPr>
          <w:rFonts w:hint="cs"/>
          <w:rtl/>
        </w:rPr>
        <w:t xml:space="preserve"> </w:t>
      </w:r>
      <w:r>
        <w:rPr>
          <w:rFonts w:hint="cs"/>
          <w:rtl/>
        </w:rPr>
        <w:t xml:space="preserve">יצוין כי </w:t>
      </w:r>
      <w:r w:rsidR="00AD5370">
        <w:rPr>
          <w:rFonts w:hint="cs"/>
          <w:rtl/>
        </w:rPr>
        <w:t>בסמוך להסרת המגבלה</w:t>
      </w:r>
      <w:r w:rsidR="00165A7F">
        <w:rPr>
          <w:rFonts w:hint="cs"/>
          <w:rtl/>
        </w:rPr>
        <w:t xml:space="preserve"> </w:t>
      </w:r>
      <w:r w:rsidR="00AD5370">
        <w:rPr>
          <w:rFonts w:hint="cs"/>
          <w:rtl/>
        </w:rPr>
        <w:t>האמורה</w:t>
      </w:r>
      <w:r>
        <w:rPr>
          <w:rFonts w:hint="cs"/>
          <w:rtl/>
        </w:rPr>
        <w:t>,</w:t>
      </w:r>
      <w:r w:rsidR="00AD5370">
        <w:rPr>
          <w:rFonts w:hint="cs"/>
          <w:rtl/>
        </w:rPr>
        <w:t xml:space="preserve"> </w:t>
      </w:r>
      <w:r w:rsidR="00165A7F">
        <w:rPr>
          <w:rFonts w:hint="cs"/>
          <w:rtl/>
        </w:rPr>
        <w:t xml:space="preserve">רשות המים </w:t>
      </w:r>
      <w:r w:rsidR="00AD5370">
        <w:rPr>
          <w:rFonts w:hint="cs"/>
          <w:rtl/>
        </w:rPr>
        <w:t>צפויה ל</w:t>
      </w:r>
      <w:r>
        <w:rPr>
          <w:rFonts w:hint="cs"/>
          <w:rtl/>
        </w:rPr>
        <w:t>הוסיף ול</w:t>
      </w:r>
      <w:r w:rsidR="00AD5370">
        <w:rPr>
          <w:rFonts w:hint="cs"/>
          <w:rtl/>
        </w:rPr>
        <w:t xml:space="preserve">אכוף </w:t>
      </w:r>
      <w:r w:rsidR="00165A7F">
        <w:rPr>
          <w:rFonts w:hint="cs"/>
          <w:rtl/>
        </w:rPr>
        <w:t xml:space="preserve">את האיסורים הקבועים בחוק ביחס לשימוש במדי מים בתוך תחומי ישראל. </w:t>
      </w:r>
      <w:r w:rsidR="0092116C">
        <w:rPr>
          <w:rFonts w:hint="cs"/>
          <w:rtl/>
        </w:rPr>
        <w:t>לצורך ה</w:t>
      </w:r>
      <w:r>
        <w:rPr>
          <w:rFonts w:hint="cs"/>
          <w:rtl/>
        </w:rPr>
        <w:t>י</w:t>
      </w:r>
      <w:r w:rsidR="0092116C">
        <w:rPr>
          <w:rFonts w:hint="cs"/>
          <w:rtl/>
        </w:rPr>
        <w:t>ערכות</w:t>
      </w:r>
      <w:r>
        <w:rPr>
          <w:rFonts w:hint="cs"/>
          <w:rtl/>
        </w:rPr>
        <w:t xml:space="preserve"> </w:t>
      </w:r>
      <w:r w:rsidR="00625FB9">
        <w:rPr>
          <w:rFonts w:hint="cs"/>
          <w:rtl/>
        </w:rPr>
        <w:t xml:space="preserve">משק המים, </w:t>
      </w:r>
      <w:r w:rsidR="0092116C">
        <w:rPr>
          <w:rFonts w:hint="cs"/>
          <w:rtl/>
        </w:rPr>
        <w:t>רשות המים</w:t>
      </w:r>
      <w:r w:rsidR="00625FB9">
        <w:rPr>
          <w:rFonts w:hint="cs"/>
          <w:rtl/>
        </w:rPr>
        <w:t xml:space="preserve"> והמפוקחים על ידה</w:t>
      </w:r>
      <w:r w:rsidR="0092116C">
        <w:rPr>
          <w:rFonts w:hint="cs"/>
          <w:rtl/>
        </w:rPr>
        <w:t xml:space="preserve"> </w:t>
      </w:r>
      <w:r>
        <w:rPr>
          <w:rFonts w:hint="cs"/>
          <w:rtl/>
        </w:rPr>
        <w:t xml:space="preserve">לרבות בקשר עם </w:t>
      </w:r>
      <w:r w:rsidR="0092116C">
        <w:rPr>
          <w:rFonts w:hint="cs"/>
          <w:rtl/>
        </w:rPr>
        <w:t>הרחבת האכיפה על שימוש במדי מים בתוך מדינת ישראל, מוצע לקבוע לצו מועד תחולה</w:t>
      </w:r>
      <w:r>
        <w:rPr>
          <w:rFonts w:hint="cs"/>
          <w:rtl/>
        </w:rPr>
        <w:t xml:space="preserve"> מאוחר</w:t>
      </w:r>
      <w:r w:rsidR="0092116C">
        <w:rPr>
          <w:rFonts w:hint="cs"/>
          <w:rtl/>
        </w:rPr>
        <w:t xml:space="preserve"> של חצי שנה מיום פרסום התיקון.</w:t>
      </w:r>
    </w:p>
    <w:p w:rsidR="00667FA0" w:rsidRDefault="00255AFC"/>
    <w:sectPr w:rsidR="00667FA0" w:rsidSect="00165A7F">
      <w:pgSz w:w="12240" w:h="15840"/>
      <w:pgMar w:top="1701"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AFC" w:rsidRDefault="00255AFC" w:rsidP="00165A7F">
      <w:pPr>
        <w:spacing w:line="240" w:lineRule="auto"/>
      </w:pPr>
      <w:r>
        <w:separator/>
      </w:r>
    </w:p>
  </w:endnote>
  <w:endnote w:type="continuationSeparator" w:id="0">
    <w:p w:rsidR="00255AFC" w:rsidRDefault="00255AFC" w:rsidP="00165A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1"/>
    <w:family w:val="swiss"/>
    <w:notTrueType/>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AFC" w:rsidRDefault="00255AFC" w:rsidP="00165A7F">
      <w:pPr>
        <w:spacing w:line="240" w:lineRule="auto"/>
      </w:pPr>
      <w:r>
        <w:separator/>
      </w:r>
    </w:p>
  </w:footnote>
  <w:footnote w:type="continuationSeparator" w:id="0">
    <w:p w:rsidR="00255AFC" w:rsidRDefault="00255AFC" w:rsidP="00165A7F">
      <w:pPr>
        <w:spacing w:line="240" w:lineRule="auto"/>
      </w:pPr>
      <w:r>
        <w:continuationSeparator/>
      </w:r>
    </w:p>
  </w:footnote>
  <w:footnote w:id="1">
    <w:p w:rsidR="00165A7F" w:rsidRDefault="00165A7F" w:rsidP="0006194A">
      <w:pPr>
        <w:pStyle w:val="a5"/>
        <w:rPr>
          <w:rtl/>
        </w:rPr>
      </w:pPr>
      <w:r>
        <w:rPr>
          <w:rStyle w:val="a7"/>
        </w:rPr>
        <w:footnoteRef/>
      </w:r>
      <w:r>
        <w:rPr>
          <w:rtl/>
        </w:rPr>
        <w:t xml:space="preserve"> </w:t>
      </w:r>
      <w:r>
        <w:rPr>
          <w:rFonts w:hint="cs"/>
          <w:rtl/>
        </w:rPr>
        <w:t>דיני מדינת ישראל, נוסח חדש 32, עמ' 625; ס"ח התשע"ד, עמ' 20.</w:t>
      </w:r>
    </w:p>
  </w:footnote>
  <w:footnote w:id="2">
    <w:p w:rsidR="00165A7F" w:rsidRDefault="00165A7F" w:rsidP="00942CDC">
      <w:pPr>
        <w:pStyle w:val="a5"/>
        <w:rPr>
          <w:rtl/>
        </w:rPr>
      </w:pPr>
      <w:r>
        <w:rPr>
          <w:rStyle w:val="a7"/>
        </w:rPr>
        <w:footnoteRef/>
      </w:r>
      <w:r>
        <w:rPr>
          <w:rtl/>
        </w:rPr>
        <w:t xml:space="preserve"> </w:t>
      </w:r>
      <w:r>
        <w:rPr>
          <w:rFonts w:hint="cs"/>
          <w:rtl/>
        </w:rPr>
        <w:t xml:space="preserve">ק"ת </w:t>
      </w:r>
      <w:r>
        <w:rPr>
          <w:rtl/>
        </w:rPr>
        <w:t>–</w:t>
      </w:r>
      <w:r>
        <w:rPr>
          <w:rFonts w:hint="cs"/>
          <w:rtl/>
        </w:rPr>
        <w:t xml:space="preserve"> שיעורי מק"ח, התשע"ד, עמ' 46, והתש"ף, עמ'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4"/>
  </w:num>
  <w:num w:numId="5">
    <w:abstractNumId w:val="11"/>
  </w:num>
  <w:num w:numId="6">
    <w:abstractNumId w:val="15"/>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2"/>
    <w:lvlOverride w:ilvl="0">
      <w:startOverride w:val="1"/>
    </w:lvlOverride>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7F"/>
    <w:rsid w:val="000C0052"/>
    <w:rsid w:val="00147F30"/>
    <w:rsid w:val="00165A7F"/>
    <w:rsid w:val="00255AFC"/>
    <w:rsid w:val="00300049"/>
    <w:rsid w:val="0032334F"/>
    <w:rsid w:val="003F5A99"/>
    <w:rsid w:val="004206CB"/>
    <w:rsid w:val="00485808"/>
    <w:rsid w:val="00625FB9"/>
    <w:rsid w:val="00695D6F"/>
    <w:rsid w:val="00796A7A"/>
    <w:rsid w:val="0092116C"/>
    <w:rsid w:val="00942CDC"/>
    <w:rsid w:val="00955441"/>
    <w:rsid w:val="00A5238F"/>
    <w:rsid w:val="00AD5370"/>
    <w:rsid w:val="00C3666E"/>
    <w:rsid w:val="00C45C22"/>
    <w:rsid w:val="00E04458"/>
    <w:rsid w:val="00E83477"/>
    <w:rsid w:val="00F71D70"/>
    <w:rsid w:val="00F87B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E11DF-779C-4160-873E-11C86B52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D70"/>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F71D70"/>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F71D70"/>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F71D70"/>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F71D70"/>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F71D70"/>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F71D70"/>
    <w:rPr>
      <w:rFonts w:asciiTheme="majorHAnsi" w:eastAsiaTheme="majorEastAsia" w:hAnsiTheme="majorHAnsi" w:cs="David"/>
      <w:bCs/>
      <w:sz w:val="32"/>
      <w:szCs w:val="36"/>
    </w:rPr>
  </w:style>
  <w:style w:type="character" w:customStyle="1" w:styleId="40">
    <w:name w:val="כותרת 4 תו"/>
    <w:basedOn w:val="a0"/>
    <w:link w:val="4"/>
    <w:uiPriority w:val="9"/>
    <w:rsid w:val="00F71D70"/>
    <w:rPr>
      <w:rFonts w:ascii="David" w:hAnsi="David" w:cs="David"/>
      <w:b/>
      <w:bCs/>
      <w:color w:val="000000" w:themeColor="text1"/>
      <w:sz w:val="24"/>
      <w:szCs w:val="28"/>
    </w:rPr>
  </w:style>
  <w:style w:type="paragraph" w:customStyle="1" w:styleId="TableText">
    <w:name w:val="Table Text"/>
    <w:basedOn w:val="a"/>
    <w:rsid w:val="00F71D70"/>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F71D70"/>
    <w:pPr>
      <w:outlineLvl w:val="2"/>
    </w:pPr>
  </w:style>
  <w:style w:type="paragraph" w:customStyle="1" w:styleId="TableBlock">
    <w:name w:val="Table Block"/>
    <w:basedOn w:val="TableText"/>
    <w:rsid w:val="00F71D70"/>
    <w:pPr>
      <w:jc w:val="both"/>
    </w:pPr>
  </w:style>
  <w:style w:type="paragraph" w:customStyle="1" w:styleId="TableHead">
    <w:name w:val="Table Head"/>
    <w:basedOn w:val="TableText"/>
    <w:rsid w:val="00F71D70"/>
    <w:pPr>
      <w:jc w:val="center"/>
      <w:outlineLvl w:val="1"/>
    </w:pPr>
    <w:rPr>
      <w:b/>
      <w:bCs/>
    </w:rPr>
  </w:style>
  <w:style w:type="paragraph" w:customStyle="1" w:styleId="HeadMitparsemetBaze">
    <w:name w:val="Head MitparsemetBaze"/>
    <w:basedOn w:val="a"/>
    <w:rsid w:val="00F71D70"/>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F71D70"/>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F71D70"/>
    <w:pPr>
      <w:tabs>
        <w:tab w:val="left" w:pos="680"/>
        <w:tab w:val="left" w:pos="1020"/>
      </w:tabs>
      <w:ind w:firstLine="0"/>
    </w:pPr>
  </w:style>
  <w:style w:type="paragraph" w:customStyle="1" w:styleId="HeadDivreiHesber">
    <w:name w:val="Head DivreiHesber"/>
    <w:basedOn w:val="a"/>
    <w:rsid w:val="00F71D70"/>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F71D70"/>
    <w:rPr>
      <w:rFonts w:asciiTheme="majorHAnsi" w:eastAsiaTheme="majorEastAsia" w:hAnsiTheme="majorHAnsi" w:cs="David"/>
      <w:bCs/>
      <w:sz w:val="26"/>
      <w:szCs w:val="36"/>
      <w:u w:val="single"/>
    </w:rPr>
  </w:style>
  <w:style w:type="character" w:customStyle="1" w:styleId="30">
    <w:name w:val="כותרת 3 תו"/>
    <w:basedOn w:val="a0"/>
    <w:link w:val="3"/>
    <w:rsid w:val="00F71D70"/>
    <w:rPr>
      <w:rFonts w:asciiTheme="majorHAnsi" w:eastAsiaTheme="majorEastAsia" w:hAnsiTheme="majorHAnsi" w:cs="David"/>
      <w:sz w:val="24"/>
      <w:szCs w:val="28"/>
      <w:u w:val="double"/>
    </w:rPr>
  </w:style>
  <w:style w:type="character" w:customStyle="1" w:styleId="50">
    <w:name w:val="כותרת 5 תו"/>
    <w:basedOn w:val="a0"/>
    <w:link w:val="5"/>
    <w:uiPriority w:val="9"/>
    <w:rsid w:val="00F71D70"/>
    <w:rPr>
      <w:rFonts w:ascii="David" w:hAnsi="David" w:cs="David"/>
      <w:color w:val="000000" w:themeColor="text1"/>
      <w:sz w:val="24"/>
      <w:szCs w:val="24"/>
    </w:rPr>
  </w:style>
  <w:style w:type="paragraph" w:customStyle="1" w:styleId="HeadHatzaotHok4Futer">
    <w:name w:val="Head HatzaotHok4Futer"/>
    <w:basedOn w:val="HeadHatzaotHok"/>
    <w:rsid w:val="00F71D70"/>
    <w:pPr>
      <w:spacing w:before="120" w:after="120"/>
    </w:pPr>
    <w:rPr>
      <w:color w:val="FF0000"/>
      <w:w w:val="80"/>
    </w:rPr>
  </w:style>
  <w:style w:type="paragraph" w:styleId="a3">
    <w:name w:val="endnote text"/>
    <w:basedOn w:val="a"/>
    <w:link w:val="a4"/>
    <w:semiHidden/>
    <w:rsid w:val="00F71D70"/>
    <w:pPr>
      <w:ind w:left="227" w:hanging="227"/>
    </w:pPr>
    <w:rPr>
      <w:sz w:val="14"/>
      <w:szCs w:val="22"/>
    </w:rPr>
  </w:style>
  <w:style w:type="character" w:customStyle="1" w:styleId="a4">
    <w:name w:val="טקסט הערת סיום תו"/>
    <w:basedOn w:val="a0"/>
    <w:link w:val="a3"/>
    <w:semiHidden/>
    <w:rsid w:val="00165A7F"/>
    <w:rPr>
      <w:rFonts w:ascii="David" w:hAnsi="David" w:cs="David"/>
      <w:sz w:val="14"/>
    </w:rPr>
  </w:style>
  <w:style w:type="paragraph" w:customStyle="1" w:styleId="TableInnerSideHeading">
    <w:name w:val="Table InnerSideHeading"/>
    <w:basedOn w:val="TableSideHeading"/>
    <w:rsid w:val="00F71D70"/>
    <w:pPr>
      <w:outlineLvl w:val="9"/>
    </w:pPr>
  </w:style>
  <w:style w:type="paragraph" w:customStyle="1" w:styleId="Hesber">
    <w:name w:val="Hesber"/>
    <w:basedOn w:val="a"/>
    <w:rsid w:val="00F71D70"/>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F71D70"/>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165A7F"/>
    <w:rPr>
      <w:rFonts w:ascii="Arial" w:eastAsia="Arial Unicode MS" w:hAnsi="Arial" w:cs="David"/>
      <w:snapToGrid w:val="0"/>
      <w:sz w:val="14"/>
      <w:szCs w:val="20"/>
    </w:rPr>
  </w:style>
  <w:style w:type="character" w:styleId="a7">
    <w:name w:val="footnote reference"/>
    <w:aliases w:val="Footnote Reference,Footnote Reference_0"/>
    <w:basedOn w:val="a0"/>
    <w:semiHidden/>
    <w:rsid w:val="00F71D70"/>
    <w:rPr>
      <w:vertAlign w:val="superscript"/>
    </w:rPr>
  </w:style>
  <w:style w:type="paragraph" w:customStyle="1" w:styleId="HesberHeading">
    <w:name w:val="Hesber Heading"/>
    <w:basedOn w:val="Hesber"/>
    <w:rsid w:val="00F71D70"/>
    <w:pPr>
      <w:tabs>
        <w:tab w:val="left" w:pos="624"/>
        <w:tab w:val="left" w:pos="1247"/>
      </w:tabs>
    </w:pPr>
    <w:rPr>
      <w:b/>
      <w:bCs/>
    </w:rPr>
  </w:style>
  <w:style w:type="paragraph" w:customStyle="1" w:styleId="HesberWriters">
    <w:name w:val="Hesber Writers"/>
    <w:basedOn w:val="Hesber"/>
    <w:rsid w:val="00F71D70"/>
    <w:pPr>
      <w:spacing w:before="120" w:after="120"/>
      <w:ind w:left="1418"/>
      <w:jc w:val="right"/>
    </w:pPr>
    <w:rPr>
      <w:b/>
      <w:bCs/>
    </w:rPr>
  </w:style>
  <w:style w:type="character" w:styleId="a8">
    <w:name w:val="endnote reference"/>
    <w:basedOn w:val="a0"/>
    <w:semiHidden/>
    <w:rsid w:val="00F71D70"/>
    <w:rPr>
      <w:vertAlign w:val="superscript"/>
    </w:rPr>
  </w:style>
  <w:style w:type="paragraph" w:customStyle="1" w:styleId="TableBlockOutdent">
    <w:name w:val="Table BlockOutdent"/>
    <w:basedOn w:val="TableBlock"/>
    <w:rsid w:val="00F71D70"/>
    <w:pPr>
      <w:ind w:left="624" w:hanging="624"/>
    </w:pPr>
  </w:style>
  <w:style w:type="paragraph" w:styleId="a9">
    <w:name w:val="header"/>
    <w:basedOn w:val="a"/>
    <w:link w:val="aa"/>
    <w:rsid w:val="00F71D70"/>
    <w:pPr>
      <w:tabs>
        <w:tab w:val="center" w:pos="4153"/>
        <w:tab w:val="right" w:pos="8306"/>
      </w:tabs>
    </w:pPr>
  </w:style>
  <w:style w:type="character" w:customStyle="1" w:styleId="aa">
    <w:name w:val="כותרת עליונה תו"/>
    <w:basedOn w:val="a0"/>
    <w:link w:val="a9"/>
    <w:rsid w:val="00165A7F"/>
    <w:rPr>
      <w:rFonts w:ascii="David" w:hAnsi="David" w:cs="David"/>
      <w:sz w:val="24"/>
      <w:szCs w:val="24"/>
    </w:rPr>
  </w:style>
  <w:style w:type="paragraph" w:styleId="ab">
    <w:name w:val="footer"/>
    <w:basedOn w:val="a"/>
    <w:link w:val="ac"/>
    <w:rsid w:val="00F71D70"/>
    <w:pPr>
      <w:tabs>
        <w:tab w:val="center" w:pos="4153"/>
        <w:tab w:val="right" w:pos="8306"/>
      </w:tabs>
    </w:pPr>
  </w:style>
  <w:style w:type="character" w:customStyle="1" w:styleId="ac">
    <w:name w:val="כותרת תחתונה תו"/>
    <w:basedOn w:val="a0"/>
    <w:link w:val="ab"/>
    <w:rsid w:val="00165A7F"/>
    <w:rPr>
      <w:rFonts w:ascii="David" w:hAnsi="David" w:cs="David"/>
      <w:sz w:val="24"/>
      <w:szCs w:val="24"/>
    </w:rPr>
  </w:style>
  <w:style w:type="character" w:styleId="ad">
    <w:name w:val="page number"/>
    <w:basedOn w:val="a0"/>
    <w:rsid w:val="00F71D70"/>
  </w:style>
  <w:style w:type="paragraph" w:customStyle="1" w:styleId="Cover1-Reshumot">
    <w:name w:val="Cover 1-Reshumot"/>
    <w:basedOn w:val="a"/>
    <w:rsid w:val="00F71D70"/>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F71D70"/>
    <w:rPr>
      <w:sz w:val="36"/>
      <w:szCs w:val="52"/>
    </w:rPr>
  </w:style>
  <w:style w:type="paragraph" w:customStyle="1" w:styleId="Cover3-Haknesset">
    <w:name w:val="Cover 3-Haknesset"/>
    <w:basedOn w:val="Cover1-Reshumot"/>
    <w:rsid w:val="00F71D70"/>
    <w:rPr>
      <w:b/>
      <w:bCs/>
      <w:spacing w:val="60"/>
    </w:rPr>
  </w:style>
  <w:style w:type="paragraph" w:customStyle="1" w:styleId="Cover4-Date">
    <w:name w:val="Cover 4-Date"/>
    <w:basedOn w:val="a"/>
    <w:rsid w:val="00F71D70"/>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F71D70"/>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F71D70"/>
    <w:pPr>
      <w:widowControl/>
      <w:spacing w:before="120" w:after="120"/>
      <w:outlineLvl w:val="9"/>
    </w:pPr>
    <w:rPr>
      <w:rtl/>
      <w:cs/>
    </w:rPr>
  </w:style>
  <w:style w:type="paragraph" w:styleId="TOC1">
    <w:name w:val="toc 1"/>
    <w:basedOn w:val="a"/>
    <w:next w:val="a"/>
    <w:autoRedefine/>
    <w:uiPriority w:val="39"/>
    <w:unhideWhenUsed/>
    <w:rsid w:val="00F71D70"/>
    <w:pPr>
      <w:tabs>
        <w:tab w:val="right" w:leader="dot" w:pos="9629"/>
      </w:tabs>
      <w:spacing w:after="100"/>
    </w:pPr>
    <w:rPr>
      <w:bCs/>
      <w:szCs w:val="22"/>
    </w:rPr>
  </w:style>
  <w:style w:type="paragraph" w:styleId="TOC2">
    <w:name w:val="toc 2"/>
    <w:basedOn w:val="a"/>
    <w:next w:val="a"/>
    <w:uiPriority w:val="39"/>
    <w:unhideWhenUsed/>
    <w:rsid w:val="00F71D70"/>
    <w:pPr>
      <w:tabs>
        <w:tab w:val="right" w:leader="dot" w:pos="9628"/>
      </w:tabs>
      <w:spacing w:after="100"/>
    </w:pPr>
    <w:rPr>
      <w:szCs w:val="22"/>
    </w:rPr>
  </w:style>
  <w:style w:type="character" w:styleId="Hyperlink">
    <w:name w:val="Hyperlink"/>
    <w:basedOn w:val="a0"/>
    <w:uiPriority w:val="99"/>
    <w:unhideWhenUsed/>
    <w:rsid w:val="00F71D70"/>
    <w:rPr>
      <w:color w:val="0563C1" w:themeColor="hyperlink"/>
      <w:u w:val="single"/>
    </w:rPr>
  </w:style>
  <w:style w:type="paragraph" w:styleId="TOC3">
    <w:name w:val="toc 3"/>
    <w:basedOn w:val="a"/>
    <w:next w:val="a"/>
    <w:uiPriority w:val="39"/>
    <w:unhideWhenUsed/>
    <w:rsid w:val="00F71D70"/>
    <w:pPr>
      <w:numPr>
        <w:numId w:val="19"/>
      </w:numPr>
      <w:tabs>
        <w:tab w:val="num" w:pos="360"/>
        <w:tab w:val="right" w:leader="dot" w:pos="9629"/>
      </w:tabs>
      <w:spacing w:after="100"/>
      <w:ind w:left="811" w:hanging="357"/>
    </w:pPr>
    <w:rPr>
      <w:szCs w:val="22"/>
    </w:rPr>
  </w:style>
  <w:style w:type="paragraph" w:styleId="TOC4">
    <w:name w:val="toc 4"/>
    <w:basedOn w:val="a"/>
    <w:next w:val="a"/>
    <w:autoRedefine/>
    <w:uiPriority w:val="39"/>
    <w:unhideWhenUsed/>
    <w:qFormat/>
    <w:rsid w:val="00F71D70"/>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F71D70"/>
    <w:pPr>
      <w:tabs>
        <w:tab w:val="right" w:leader="dot" w:pos="9628"/>
      </w:tabs>
      <w:spacing w:after="100"/>
      <w:ind w:left="567"/>
    </w:pPr>
    <w:rPr>
      <w:szCs w:val="22"/>
    </w:rPr>
  </w:style>
  <w:style w:type="paragraph" w:styleId="TOC6">
    <w:name w:val="toc 6"/>
    <w:basedOn w:val="a"/>
    <w:next w:val="a"/>
    <w:autoRedefine/>
    <w:semiHidden/>
    <w:unhideWhenUsed/>
    <w:rsid w:val="00F71D70"/>
    <w:pPr>
      <w:spacing w:after="100"/>
      <w:ind w:left="850"/>
    </w:pPr>
  </w:style>
  <w:style w:type="paragraph" w:styleId="TOC7">
    <w:name w:val="toc 7"/>
    <w:basedOn w:val="a"/>
    <w:next w:val="a"/>
    <w:autoRedefine/>
    <w:semiHidden/>
    <w:unhideWhenUsed/>
    <w:rsid w:val="00F71D70"/>
    <w:pPr>
      <w:spacing w:after="100"/>
      <w:ind w:left="1020"/>
    </w:pPr>
  </w:style>
  <w:style w:type="paragraph" w:styleId="TOC8">
    <w:name w:val="toc 8"/>
    <w:basedOn w:val="a"/>
    <w:next w:val="a"/>
    <w:autoRedefine/>
    <w:semiHidden/>
    <w:unhideWhenUsed/>
    <w:rsid w:val="00F71D70"/>
    <w:pPr>
      <w:spacing w:after="100"/>
      <w:ind w:left="1190"/>
    </w:pPr>
  </w:style>
  <w:style w:type="paragraph" w:styleId="TOC9">
    <w:name w:val="toc 9"/>
    <w:basedOn w:val="a"/>
    <w:next w:val="a"/>
    <w:autoRedefine/>
    <w:semiHidden/>
    <w:unhideWhenUsed/>
    <w:rsid w:val="00F71D70"/>
    <w:pPr>
      <w:spacing w:after="100"/>
      <w:ind w:left="1360"/>
    </w:pPr>
  </w:style>
  <w:style w:type="paragraph" w:customStyle="1" w:styleId="TableHead2">
    <w:name w:val="Table Head2"/>
    <w:basedOn w:val="TableHead"/>
    <w:qFormat/>
    <w:rsid w:val="00F71D70"/>
    <w:pPr>
      <w:outlineLvl w:val="9"/>
    </w:pPr>
  </w:style>
  <w:style w:type="paragraph" w:customStyle="1" w:styleId="TableSideHeading2">
    <w:name w:val="Table SideHeading2"/>
    <w:basedOn w:val="TableSideHeading"/>
    <w:autoRedefine/>
    <w:qFormat/>
    <w:rsid w:val="00F71D70"/>
    <w:pPr>
      <w:keepLines w:val="0"/>
      <w:outlineLvl w:val="9"/>
    </w:pPr>
  </w:style>
  <w:style w:type="paragraph" w:customStyle="1" w:styleId="0">
    <w:name w:val="סגנון שורה ראשונה:  0  ס''מ"/>
    <w:basedOn w:val="2"/>
    <w:rsid w:val="00F71D70"/>
    <w:rPr>
      <w:rFonts w:eastAsia="Times New Roman"/>
    </w:rPr>
  </w:style>
  <w:style w:type="paragraph" w:styleId="af">
    <w:name w:val="List Paragraph"/>
    <w:basedOn w:val="a"/>
    <w:uiPriority w:val="34"/>
    <w:qFormat/>
    <w:rsid w:val="00F71D70"/>
    <w:pPr>
      <w:widowControl/>
      <w:spacing w:line="259" w:lineRule="auto"/>
    </w:pPr>
    <w:rPr>
      <w:rFonts w:asciiTheme="minorHAnsi" w:hAnsiTheme="minorHAnsi"/>
      <w:sz w:val="22"/>
    </w:rPr>
  </w:style>
  <w:style w:type="table" w:styleId="af0">
    <w:name w:val="Table Grid"/>
    <w:basedOn w:val="a1"/>
    <w:rsid w:val="00F71D70"/>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F71D70"/>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F71D70"/>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F71D70"/>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F71D70"/>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paragraph" w:styleId="af2">
    <w:name w:val="Balloon Text"/>
    <w:basedOn w:val="a"/>
    <w:link w:val="af3"/>
    <w:uiPriority w:val="99"/>
    <w:semiHidden/>
    <w:unhideWhenUsed/>
    <w:rsid w:val="00AD5370"/>
    <w:pPr>
      <w:spacing w:line="240" w:lineRule="auto"/>
    </w:pPr>
    <w:rPr>
      <w:rFonts w:ascii="Tahoma" w:hAnsi="Tahoma" w:cs="Tahoma"/>
      <w:sz w:val="18"/>
      <w:szCs w:val="18"/>
    </w:rPr>
  </w:style>
  <w:style w:type="character" w:customStyle="1" w:styleId="af3">
    <w:name w:val="טקסט בלונים תו"/>
    <w:basedOn w:val="a0"/>
    <w:link w:val="af2"/>
    <w:uiPriority w:val="99"/>
    <w:semiHidden/>
    <w:rsid w:val="00AD5370"/>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2328</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Ministry Of Economy</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 גולדשטיין</dc:creator>
  <cp:keywords/>
  <dc:description/>
  <cp:lastModifiedBy>Merav Kaplan - Chamber Of Commerce</cp:lastModifiedBy>
  <cp:revision>2</cp:revision>
  <dcterms:created xsi:type="dcterms:W3CDTF">2022-08-16T06:27:00Z</dcterms:created>
  <dcterms:modified xsi:type="dcterms:W3CDTF">2022-08-16T06:27:00Z</dcterms:modified>
</cp:coreProperties>
</file>