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1" w:rsidRDefault="005072F1" w:rsidP="003C2D14">
      <w:pPr>
        <w:pStyle w:val="1"/>
        <w:spacing w:line="360" w:lineRule="atLeast"/>
        <w:rPr>
          <w:sz w:val="32"/>
          <w:szCs w:val="32"/>
          <w:rtl/>
        </w:rPr>
      </w:pPr>
      <w:bookmarkStart w:id="0" w:name="_GoBack"/>
      <w:r w:rsidRPr="00105D43">
        <w:rPr>
          <w:rFonts w:hint="cs"/>
          <w:sz w:val="32"/>
          <w:szCs w:val="32"/>
          <w:rtl/>
        </w:rPr>
        <w:t xml:space="preserve">דברי הסבר </w:t>
      </w:r>
      <w:proofErr w:type="spellStart"/>
      <w:r w:rsidR="00F65CE6" w:rsidRPr="00105D43">
        <w:rPr>
          <w:rFonts w:hint="cs"/>
          <w:sz w:val="32"/>
          <w:szCs w:val="32"/>
          <w:rtl/>
        </w:rPr>
        <w:t>למק"ח</w:t>
      </w:r>
      <w:proofErr w:type="spellEnd"/>
      <w:r w:rsidR="00F65CE6" w:rsidRPr="00105D43">
        <w:rPr>
          <w:rFonts w:hint="cs"/>
          <w:sz w:val="32"/>
          <w:szCs w:val="32"/>
          <w:rtl/>
        </w:rPr>
        <w:t xml:space="preserve"> </w:t>
      </w:r>
      <w:r w:rsidR="00DD77B8">
        <w:rPr>
          <w:rFonts w:hint="cs"/>
          <w:sz w:val="32"/>
          <w:szCs w:val="32"/>
          <w:rtl/>
        </w:rPr>
        <w:t>1965</w:t>
      </w:r>
    </w:p>
    <w:bookmarkEnd w:id="0"/>
    <w:p w:rsidR="00DD77B8" w:rsidRPr="00DD77B8" w:rsidRDefault="00DD77B8" w:rsidP="003C2D14">
      <w:pPr>
        <w:spacing w:line="360" w:lineRule="atLeast"/>
        <w:outlineLvl w:val="1"/>
        <w:rPr>
          <w:b/>
          <w:bCs/>
          <w:sz w:val="24"/>
          <w:szCs w:val="24"/>
          <w:u w:val="single"/>
          <w:rtl/>
        </w:rPr>
      </w:pPr>
      <w:r w:rsidRPr="00DD77B8">
        <w:rPr>
          <w:rFonts w:cs="Arial"/>
          <w:b/>
          <w:bCs/>
          <w:sz w:val="24"/>
          <w:szCs w:val="24"/>
          <w:u w:val="single"/>
          <w:rtl/>
        </w:rPr>
        <w:t>צו תעריף המכס והפטורים ומס קנייה על טובין (תיקון מס'</w:t>
      </w:r>
      <w:r w:rsidRPr="00DD77B8">
        <w:rPr>
          <w:rFonts w:cs="Arial" w:hint="cs"/>
          <w:b/>
          <w:bCs/>
          <w:sz w:val="24"/>
          <w:szCs w:val="24"/>
          <w:u w:val="single"/>
          <w:rtl/>
        </w:rPr>
        <w:t xml:space="preserve"> 2</w:t>
      </w:r>
      <w:r w:rsidRPr="00DD77B8">
        <w:rPr>
          <w:rFonts w:cs="Arial"/>
          <w:b/>
          <w:bCs/>
          <w:sz w:val="24"/>
          <w:szCs w:val="24"/>
          <w:u w:val="single"/>
          <w:rtl/>
        </w:rPr>
        <w:t xml:space="preserve"> והוראת שעה מס'</w:t>
      </w:r>
      <w:r w:rsidRPr="00DD77B8">
        <w:rPr>
          <w:rFonts w:cs="Arial" w:hint="cs"/>
          <w:b/>
          <w:bCs/>
          <w:sz w:val="24"/>
          <w:szCs w:val="24"/>
          <w:u w:val="single"/>
          <w:rtl/>
        </w:rPr>
        <w:t xml:space="preserve"> 3</w:t>
      </w:r>
      <w:r w:rsidRPr="00DD77B8">
        <w:rPr>
          <w:rFonts w:cs="Arial"/>
          <w:b/>
          <w:bCs/>
          <w:sz w:val="24"/>
          <w:szCs w:val="24"/>
          <w:u w:val="single"/>
          <w:rtl/>
        </w:rPr>
        <w:t>), התשפ"ב-2021</w:t>
      </w:r>
    </w:p>
    <w:p w:rsidR="00DD77B8" w:rsidRPr="00DD77B8" w:rsidRDefault="00DD77B8" w:rsidP="003C2D14">
      <w:pPr>
        <w:spacing w:line="360" w:lineRule="atLeast"/>
        <w:rPr>
          <w:b/>
          <w:bCs/>
          <w:sz w:val="24"/>
          <w:szCs w:val="24"/>
          <w:u w:val="single"/>
          <w:rtl/>
        </w:rPr>
      </w:pP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DD77B8">
        <w:rPr>
          <w:sz w:val="24"/>
          <w:rtl/>
        </w:rPr>
        <w:t xml:space="preserve">בהמשך </w:t>
      </w:r>
      <w:r w:rsidRPr="00DD77B8">
        <w:rPr>
          <w:rFonts w:hint="cs"/>
          <w:sz w:val="24"/>
          <w:rtl/>
        </w:rPr>
        <w:t>להחלטת הממשלה מס' 286 מיום 1 באוגוסט 2021 בנושא "</w:t>
      </w:r>
      <w:r w:rsidRPr="00DD77B8">
        <w:rPr>
          <w:sz w:val="24"/>
          <w:rtl/>
        </w:rPr>
        <w:t>תמחור פליטות גזי חממה</w:t>
      </w:r>
      <w:r w:rsidRPr="00DD77B8">
        <w:rPr>
          <w:rFonts w:hint="cs"/>
          <w:sz w:val="24"/>
          <w:rtl/>
        </w:rPr>
        <w:t xml:space="preserve">", במטרה </w:t>
      </w:r>
      <w:r w:rsidRPr="00DD77B8">
        <w:rPr>
          <w:sz w:val="24"/>
          <w:rtl/>
        </w:rPr>
        <w:t>לפתור כשל שוק משמעותי הנגרם כאשר המזהם אינו משלם עבור הנזק הסביבתי שנגרם מפליטות גזי החממה</w:t>
      </w:r>
      <w:r w:rsidRPr="00DD77B8">
        <w:rPr>
          <w:rFonts w:hint="cs"/>
          <w:sz w:val="24"/>
          <w:rtl/>
        </w:rPr>
        <w:t xml:space="preserve"> </w:t>
      </w:r>
      <w:r w:rsidRPr="00DD77B8">
        <w:rPr>
          <w:sz w:val="24"/>
          <w:rtl/>
        </w:rPr>
        <w:t xml:space="preserve">להן גרם, ומשום שתמחור פליטות </w:t>
      </w:r>
      <w:r w:rsidRPr="00DD77B8">
        <w:rPr>
          <w:rFonts w:hint="cs"/>
          <w:sz w:val="24"/>
          <w:rtl/>
        </w:rPr>
        <w:t xml:space="preserve">אלו </w:t>
      </w:r>
      <w:r w:rsidRPr="00DD77B8">
        <w:rPr>
          <w:sz w:val="24"/>
          <w:rtl/>
        </w:rPr>
        <w:t>נחשב להסדרה היעילה והאפקטיבית ביותר לעידוד הפחתת</w:t>
      </w:r>
      <w:r w:rsidRPr="00DD77B8">
        <w:rPr>
          <w:rFonts w:hint="cs"/>
          <w:sz w:val="24"/>
          <w:rtl/>
        </w:rPr>
        <w:t>ן</w:t>
      </w:r>
      <w:r w:rsidRPr="00DD77B8">
        <w:rPr>
          <w:sz w:val="24"/>
          <w:rtl/>
        </w:rPr>
        <w:t xml:space="preserve"> וליצירת ודאות בשוק</w:t>
      </w:r>
      <w:r w:rsidRPr="00DD77B8">
        <w:rPr>
          <w:rFonts w:hint="cs"/>
          <w:sz w:val="24"/>
          <w:rtl/>
        </w:rPr>
        <w:t>, מוצע בצו זה לתקן את צו</w:t>
      </w:r>
      <w:r w:rsidR="00285E59">
        <w:rPr>
          <w:rFonts w:hint="cs"/>
          <w:sz w:val="24"/>
          <w:rtl/>
        </w:rPr>
        <w:t xml:space="preserve"> </w:t>
      </w:r>
      <w:r w:rsidRPr="00DD77B8">
        <w:rPr>
          <w:rFonts w:hint="cs"/>
          <w:sz w:val="24"/>
          <w:rtl/>
        </w:rPr>
        <w:t xml:space="preserve"> תעריף המכס </w:t>
      </w:r>
      <w:r w:rsidRPr="00544934">
        <w:rPr>
          <w:rFonts w:hint="cs"/>
          <w:sz w:val="24"/>
          <w:rtl/>
        </w:rPr>
        <w:t>והפטורים ומס קנייה על טובין, התשע"ז-2017 (להלן- צו התעריף)</w:t>
      </w:r>
      <w:r w:rsidR="00285E59" w:rsidRPr="00544934">
        <w:rPr>
          <w:rFonts w:hint="cs"/>
          <w:sz w:val="24"/>
          <w:rtl/>
        </w:rPr>
        <w:t xml:space="preserve"> </w:t>
      </w:r>
      <w:r w:rsidRPr="00544934">
        <w:rPr>
          <w:rFonts w:hint="cs"/>
          <w:sz w:val="24"/>
          <w:rtl/>
        </w:rPr>
        <w:t xml:space="preserve">ולהעלות את שיעורי מס הקנייה המוטלים על סוגים שונים של דלק בהדרגה החל מיום ח' בטבת </w:t>
      </w:r>
      <w:proofErr w:type="spellStart"/>
      <w:r w:rsidRPr="00544934">
        <w:rPr>
          <w:rFonts w:hint="cs"/>
          <w:sz w:val="24"/>
          <w:rtl/>
        </w:rPr>
        <w:t>התשפ"ג</w:t>
      </w:r>
      <w:proofErr w:type="spellEnd"/>
      <w:r w:rsidRPr="00544934">
        <w:rPr>
          <w:rFonts w:hint="cs"/>
          <w:sz w:val="24"/>
          <w:rtl/>
        </w:rPr>
        <w:t xml:space="preserve"> (1 בינואר 2023), </w:t>
      </w:r>
      <w:r w:rsidRPr="00544934">
        <w:rPr>
          <w:sz w:val="24"/>
          <w:rtl/>
        </w:rPr>
        <w:t xml:space="preserve">במתווה מדורג אשר יאפשר </w:t>
      </w:r>
      <w:r w:rsidRPr="00544934">
        <w:rPr>
          <w:rFonts w:hint="cs"/>
          <w:sz w:val="24"/>
          <w:rtl/>
        </w:rPr>
        <w:t>לשוק</w:t>
      </w:r>
      <w:r w:rsidRPr="00544934">
        <w:rPr>
          <w:sz w:val="24"/>
          <w:rtl/>
        </w:rPr>
        <w:t xml:space="preserve"> תקופת הסתגלות ו</w:t>
      </w:r>
      <w:r w:rsidRPr="00544934">
        <w:rPr>
          <w:rFonts w:hint="cs"/>
          <w:sz w:val="24"/>
          <w:rtl/>
        </w:rPr>
        <w:t xml:space="preserve">כן </w:t>
      </w:r>
      <w:r w:rsidRPr="00544934">
        <w:rPr>
          <w:sz w:val="24"/>
          <w:rtl/>
        </w:rPr>
        <w:t>ודאות כלכלית ורגולטורית</w:t>
      </w:r>
      <w:r w:rsidRPr="00544934">
        <w:rPr>
          <w:rFonts w:hint="cs"/>
          <w:sz w:val="24"/>
          <w:rtl/>
        </w:rPr>
        <w:t xml:space="preserve">, </w:t>
      </w:r>
      <w:r w:rsidRPr="00544934">
        <w:rPr>
          <w:sz w:val="24"/>
          <w:rtl/>
        </w:rPr>
        <w:t xml:space="preserve">יביא להפנמת </w:t>
      </w:r>
      <w:r w:rsidRPr="00544934">
        <w:rPr>
          <w:rFonts w:hint="cs"/>
          <w:sz w:val="24"/>
          <w:rtl/>
        </w:rPr>
        <w:t>ה</w:t>
      </w:r>
      <w:r w:rsidRPr="00544934">
        <w:rPr>
          <w:sz w:val="24"/>
          <w:rtl/>
        </w:rPr>
        <w:t>עלויות החיצוניות של הפליטות</w:t>
      </w:r>
      <w:r w:rsidRPr="00DD77B8">
        <w:rPr>
          <w:sz w:val="24"/>
          <w:rtl/>
        </w:rPr>
        <w:t xml:space="preserve"> ויתמרץ התייעלות אנרגטית ומעבר </w:t>
      </w:r>
      <w:proofErr w:type="spellStart"/>
      <w:r w:rsidRPr="00DD77B8">
        <w:rPr>
          <w:sz w:val="24"/>
          <w:rtl/>
        </w:rPr>
        <w:t>לדלקים</w:t>
      </w:r>
      <w:proofErr w:type="spellEnd"/>
      <w:r w:rsidRPr="00DD77B8">
        <w:rPr>
          <w:sz w:val="24"/>
          <w:rtl/>
        </w:rPr>
        <w:t xml:space="preserve"> נקיים</w:t>
      </w:r>
      <w:r w:rsidRPr="00DD77B8">
        <w:rPr>
          <w:rFonts w:hint="cs"/>
          <w:sz w:val="24"/>
          <w:rtl/>
        </w:rPr>
        <w:t>, והכל כפי שיפורט בטבלה שלהלן:</w:t>
      </w: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tbl>
      <w:tblPr>
        <w:bidiVisual/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1"/>
        <w:tblDescription w:val="&#10;"/>
      </w:tblPr>
      <w:tblGrid>
        <w:gridCol w:w="1326"/>
        <w:gridCol w:w="1172"/>
        <w:gridCol w:w="1172"/>
        <w:gridCol w:w="1191"/>
        <w:gridCol w:w="1192"/>
        <w:gridCol w:w="1192"/>
        <w:gridCol w:w="1196"/>
      </w:tblGrid>
      <w:tr w:rsidR="00DD77B8" w:rsidRPr="003C2D14" w:rsidTr="00285E59">
        <w:trPr>
          <w:cantSplit/>
        </w:trPr>
        <w:tc>
          <w:tcPr>
            <w:tcW w:w="1520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  <w:r w:rsidRPr="00DD77B8">
              <w:rPr>
                <w:rFonts w:hint="cs"/>
                <w:b/>
                <w:bCs/>
                <w:sz w:val="24"/>
                <w:rtl/>
              </w:rPr>
              <w:t>2023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  <w:r w:rsidRPr="00DD77B8">
              <w:rPr>
                <w:rFonts w:hint="cs"/>
                <w:b/>
                <w:bCs/>
                <w:sz w:val="24"/>
                <w:rtl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  <w:r w:rsidRPr="00DD77B8">
              <w:rPr>
                <w:rFonts w:hint="cs"/>
                <w:b/>
                <w:bCs/>
                <w:sz w:val="24"/>
                <w:rtl/>
              </w:rPr>
              <w:t>2025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  <w:r w:rsidRPr="00DD77B8">
              <w:rPr>
                <w:rFonts w:hint="cs"/>
                <w:b/>
                <w:bCs/>
                <w:sz w:val="24"/>
                <w:rtl/>
              </w:rPr>
              <w:t>2026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  <w:r w:rsidRPr="00DD77B8">
              <w:rPr>
                <w:rFonts w:hint="cs"/>
                <w:b/>
                <w:bCs/>
                <w:sz w:val="24"/>
                <w:rtl/>
              </w:rPr>
              <w:t>2027</w:t>
            </w:r>
          </w:p>
        </w:tc>
        <w:tc>
          <w:tcPr>
            <w:tcW w:w="1376" w:type="dxa"/>
            <w:shd w:val="clear" w:color="auto" w:fill="auto"/>
          </w:tcPr>
          <w:p w:rsidR="00DD77B8" w:rsidRPr="00DD77B8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  <w:r w:rsidRPr="00DD77B8">
              <w:rPr>
                <w:rFonts w:hint="cs"/>
                <w:b/>
                <w:bCs/>
                <w:sz w:val="24"/>
                <w:rtl/>
              </w:rPr>
              <w:t>2028 ואילך</w:t>
            </w:r>
          </w:p>
        </w:tc>
      </w:tr>
      <w:tr w:rsidR="00DD77B8" w:rsidRPr="003C2D14" w:rsidTr="00285E59">
        <w:trPr>
          <w:cantSplit/>
        </w:trPr>
        <w:tc>
          <w:tcPr>
            <w:tcW w:w="1520" w:type="dxa"/>
            <w:shd w:val="clear" w:color="auto" w:fill="auto"/>
          </w:tcPr>
          <w:p w:rsidR="00DD77B8" w:rsidRPr="00DD77B8" w:rsidRDefault="00DD77B8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DD77B8">
              <w:rPr>
                <w:rFonts w:eastAsia="MS Mincho"/>
                <w:b/>
                <w:bCs/>
                <w:sz w:val="24"/>
                <w:szCs w:val="24"/>
                <w:rtl/>
              </w:rPr>
              <w:t>גז טבעי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29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45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65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91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126</w:t>
            </w:r>
          </w:p>
        </w:tc>
        <w:tc>
          <w:tcPr>
            <w:tcW w:w="1376" w:type="dxa"/>
            <w:shd w:val="clear" w:color="auto" w:fill="auto"/>
          </w:tcPr>
          <w:p w:rsidR="00DD77B8" w:rsidRPr="00DD77B8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170</w:t>
            </w:r>
          </w:p>
        </w:tc>
      </w:tr>
      <w:tr w:rsidR="00DD77B8" w:rsidRPr="003C2D14" w:rsidTr="00285E59">
        <w:trPr>
          <w:cantSplit/>
        </w:trPr>
        <w:tc>
          <w:tcPr>
            <w:tcW w:w="1520" w:type="dxa"/>
            <w:shd w:val="clear" w:color="auto" w:fill="auto"/>
          </w:tcPr>
          <w:p w:rsidR="00DD77B8" w:rsidRPr="00DD77B8" w:rsidRDefault="00DD77B8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DD77B8">
              <w:rPr>
                <w:rFonts w:eastAsia="MS Mincho"/>
                <w:b/>
                <w:bCs/>
                <w:sz w:val="24"/>
                <w:szCs w:val="24"/>
                <w:rtl/>
              </w:rPr>
              <w:t>גפ"ם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158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205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266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345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448</w:t>
            </w:r>
          </w:p>
        </w:tc>
        <w:tc>
          <w:tcPr>
            <w:tcW w:w="1376" w:type="dxa"/>
            <w:shd w:val="clear" w:color="auto" w:fill="auto"/>
          </w:tcPr>
          <w:p w:rsidR="00DD77B8" w:rsidRPr="00DD77B8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582</w:t>
            </w:r>
          </w:p>
        </w:tc>
      </w:tr>
      <w:tr w:rsidR="00DD77B8" w:rsidRPr="003C2D14" w:rsidTr="00285E59">
        <w:trPr>
          <w:cantSplit/>
        </w:trPr>
        <w:tc>
          <w:tcPr>
            <w:tcW w:w="1520" w:type="dxa"/>
            <w:shd w:val="clear" w:color="auto" w:fill="auto"/>
          </w:tcPr>
          <w:p w:rsidR="00DD77B8" w:rsidRPr="00DD77B8" w:rsidRDefault="00DD77B8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DD77B8">
              <w:rPr>
                <w:rFonts w:eastAsia="MS Mincho"/>
                <w:b/>
                <w:bCs/>
                <w:sz w:val="24"/>
                <w:szCs w:val="24"/>
                <w:rtl/>
              </w:rPr>
              <w:t>מזוט  0.5%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79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163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271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412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595</w:t>
            </w:r>
          </w:p>
        </w:tc>
        <w:tc>
          <w:tcPr>
            <w:tcW w:w="1376" w:type="dxa"/>
            <w:shd w:val="clear" w:color="auto" w:fill="auto"/>
          </w:tcPr>
          <w:p w:rsidR="00DD77B8" w:rsidRPr="00DD77B8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833</w:t>
            </w:r>
          </w:p>
        </w:tc>
      </w:tr>
      <w:tr w:rsidR="00DD77B8" w:rsidRPr="003C2D14" w:rsidTr="00285E59">
        <w:trPr>
          <w:cantSplit/>
        </w:trPr>
        <w:tc>
          <w:tcPr>
            <w:tcW w:w="1520" w:type="dxa"/>
            <w:shd w:val="clear" w:color="auto" w:fill="auto"/>
          </w:tcPr>
          <w:p w:rsidR="00DD77B8" w:rsidRPr="00DD77B8" w:rsidRDefault="00DD77B8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DD77B8">
              <w:rPr>
                <w:rFonts w:eastAsia="MS Mincho"/>
                <w:b/>
                <w:bCs/>
                <w:sz w:val="24"/>
                <w:szCs w:val="24"/>
                <w:rtl/>
              </w:rPr>
              <w:t>מזוט</w:t>
            </w:r>
            <w:r w:rsidRPr="00DD77B8">
              <w:rPr>
                <w:rFonts w:eastAsia="MS Mincho" w:hint="cs"/>
                <w:b/>
                <w:bCs/>
                <w:sz w:val="24"/>
                <w:szCs w:val="24"/>
                <w:rtl/>
              </w:rPr>
              <w:t xml:space="preserve"> 1%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867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951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1,059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1,200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1,383</w:t>
            </w:r>
          </w:p>
        </w:tc>
        <w:tc>
          <w:tcPr>
            <w:tcW w:w="1376" w:type="dxa"/>
            <w:shd w:val="clear" w:color="auto" w:fill="auto"/>
          </w:tcPr>
          <w:p w:rsidR="00DD77B8" w:rsidRPr="00DD77B8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1,621</w:t>
            </w:r>
          </w:p>
        </w:tc>
      </w:tr>
      <w:tr w:rsidR="00DD77B8" w:rsidRPr="003C2D14" w:rsidTr="00285E59">
        <w:trPr>
          <w:cantSplit/>
        </w:trPr>
        <w:tc>
          <w:tcPr>
            <w:tcW w:w="1520" w:type="dxa"/>
            <w:shd w:val="clear" w:color="auto" w:fill="auto"/>
          </w:tcPr>
          <w:p w:rsidR="00DD77B8" w:rsidRPr="00DD77B8" w:rsidRDefault="00DD77B8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DD77B8">
              <w:rPr>
                <w:rFonts w:eastAsia="MS Mincho"/>
                <w:b/>
                <w:bCs/>
                <w:sz w:val="24"/>
                <w:szCs w:val="24"/>
                <w:rtl/>
              </w:rPr>
              <w:t>פחם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131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167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214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274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353</w:t>
            </w:r>
          </w:p>
        </w:tc>
        <w:tc>
          <w:tcPr>
            <w:tcW w:w="1376" w:type="dxa"/>
            <w:shd w:val="clear" w:color="auto" w:fill="auto"/>
          </w:tcPr>
          <w:p w:rsidR="00DD77B8" w:rsidRPr="00DD77B8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456</w:t>
            </w:r>
          </w:p>
        </w:tc>
      </w:tr>
      <w:tr w:rsidR="00DD77B8" w:rsidRPr="00DD77B8" w:rsidTr="00285E59">
        <w:trPr>
          <w:cantSplit/>
        </w:trPr>
        <w:tc>
          <w:tcPr>
            <w:tcW w:w="1520" w:type="dxa"/>
            <w:shd w:val="clear" w:color="auto" w:fill="auto"/>
          </w:tcPr>
          <w:p w:rsidR="00DD77B8" w:rsidRPr="00DD77B8" w:rsidRDefault="00DD77B8" w:rsidP="003C2D14">
            <w:pPr>
              <w:spacing w:line="360" w:lineRule="atLeast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DD77B8">
              <w:rPr>
                <w:rFonts w:eastAsia="MS Mincho"/>
                <w:b/>
                <w:bCs/>
                <w:sz w:val="24"/>
                <w:szCs w:val="24"/>
                <w:rtl/>
              </w:rPr>
              <w:t>פטקוק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92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151</w:t>
            </w:r>
          </w:p>
        </w:tc>
        <w:tc>
          <w:tcPr>
            <w:tcW w:w="1375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227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327</w:t>
            </w:r>
          </w:p>
        </w:tc>
        <w:tc>
          <w:tcPr>
            <w:tcW w:w="1376" w:type="dxa"/>
            <w:shd w:val="clear" w:color="auto" w:fill="auto"/>
          </w:tcPr>
          <w:p w:rsidR="00DD77B8" w:rsidRPr="003C2D14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457</w:t>
            </w:r>
          </w:p>
        </w:tc>
        <w:tc>
          <w:tcPr>
            <w:tcW w:w="1376" w:type="dxa"/>
            <w:shd w:val="clear" w:color="auto" w:fill="auto"/>
          </w:tcPr>
          <w:p w:rsidR="00DD77B8" w:rsidRPr="00DD77B8" w:rsidRDefault="00DD77B8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DD77B8">
              <w:rPr>
                <w:rFonts w:hint="cs"/>
                <w:sz w:val="24"/>
                <w:rtl/>
              </w:rPr>
              <w:t>625</w:t>
            </w:r>
          </w:p>
        </w:tc>
      </w:tr>
    </w:tbl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DD77B8">
        <w:rPr>
          <w:rFonts w:hint="cs"/>
          <w:sz w:val="24"/>
          <w:rtl/>
        </w:rPr>
        <w:t xml:space="preserve">יצוין כי במקביל לקידומו של צו זה מקודם גם תיקון של צו הבלו על דלק (הטלת בלו), התשס"ד-2004, כך שהבלו על </w:t>
      </w:r>
      <w:proofErr w:type="spellStart"/>
      <w:r w:rsidRPr="00DD77B8">
        <w:rPr>
          <w:rFonts w:hint="cs"/>
          <w:sz w:val="24"/>
          <w:rtl/>
        </w:rPr>
        <w:t>הדלקים</w:t>
      </w:r>
      <w:proofErr w:type="spellEnd"/>
      <w:r w:rsidRPr="00DD77B8">
        <w:rPr>
          <w:rFonts w:hint="cs"/>
          <w:sz w:val="24"/>
          <w:rtl/>
        </w:rPr>
        <w:t xml:space="preserve"> האלו יועלה בהתאמה. </w:t>
      </w: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544934">
        <w:rPr>
          <w:rFonts w:hint="cs"/>
          <w:sz w:val="24"/>
          <w:rtl/>
        </w:rPr>
        <w:t xml:space="preserve">כתוצאה מצו זה </w:t>
      </w:r>
      <w:r w:rsidRPr="00544934">
        <w:rPr>
          <w:sz w:val="24"/>
          <w:rtl/>
        </w:rPr>
        <w:t>ומהתיקון המקביל כאמור בצו הבלו על דלק (הטלת בלו), התשס"ד-2004</w:t>
      </w:r>
      <w:r w:rsidRPr="00DD77B8">
        <w:rPr>
          <w:rFonts w:hint="cs"/>
          <w:sz w:val="24"/>
          <w:rtl/>
        </w:rPr>
        <w:t xml:space="preserve"> צפוי גידול בהכנסות המדינה ממסים של 286 </w:t>
      </w:r>
      <w:proofErr w:type="spellStart"/>
      <w:r w:rsidRPr="00DD77B8">
        <w:rPr>
          <w:rFonts w:hint="cs"/>
          <w:sz w:val="24"/>
          <w:rtl/>
        </w:rPr>
        <w:t>מלש"ח</w:t>
      </w:r>
      <w:proofErr w:type="spellEnd"/>
      <w:r w:rsidRPr="00DD77B8">
        <w:rPr>
          <w:rFonts w:hint="cs"/>
          <w:sz w:val="24"/>
          <w:rtl/>
        </w:rPr>
        <w:t xml:space="preserve"> בשנת 2023, 637 </w:t>
      </w:r>
      <w:proofErr w:type="spellStart"/>
      <w:r w:rsidRPr="00DD77B8">
        <w:rPr>
          <w:rFonts w:hint="cs"/>
          <w:sz w:val="24"/>
          <w:rtl/>
        </w:rPr>
        <w:t>מלש"ח</w:t>
      </w:r>
      <w:proofErr w:type="spellEnd"/>
      <w:r w:rsidRPr="00DD77B8">
        <w:rPr>
          <w:rFonts w:hint="cs"/>
          <w:sz w:val="24"/>
          <w:rtl/>
        </w:rPr>
        <w:t xml:space="preserve"> בשנת 2024, 898 </w:t>
      </w:r>
      <w:proofErr w:type="spellStart"/>
      <w:r w:rsidRPr="00DD77B8">
        <w:rPr>
          <w:rFonts w:hint="cs"/>
          <w:sz w:val="24"/>
          <w:rtl/>
        </w:rPr>
        <w:t>מלש"ח</w:t>
      </w:r>
      <w:proofErr w:type="spellEnd"/>
      <w:r w:rsidRPr="00DD77B8">
        <w:rPr>
          <w:rFonts w:hint="cs"/>
          <w:sz w:val="24"/>
          <w:rtl/>
        </w:rPr>
        <w:t xml:space="preserve"> בשנת 2025, 1,277 </w:t>
      </w:r>
      <w:proofErr w:type="spellStart"/>
      <w:r w:rsidRPr="00DD77B8">
        <w:rPr>
          <w:rFonts w:hint="cs"/>
          <w:sz w:val="24"/>
          <w:rtl/>
        </w:rPr>
        <w:t>מלש"ח</w:t>
      </w:r>
      <w:proofErr w:type="spellEnd"/>
      <w:r w:rsidRPr="00DD77B8">
        <w:rPr>
          <w:rFonts w:hint="cs"/>
          <w:sz w:val="24"/>
          <w:rtl/>
        </w:rPr>
        <w:t xml:space="preserve"> בשנת 2026, 1,894 </w:t>
      </w:r>
      <w:proofErr w:type="spellStart"/>
      <w:r w:rsidRPr="00DD77B8">
        <w:rPr>
          <w:rFonts w:hint="cs"/>
          <w:sz w:val="24"/>
          <w:rtl/>
        </w:rPr>
        <w:t>מלש"ח</w:t>
      </w:r>
      <w:proofErr w:type="spellEnd"/>
      <w:r w:rsidRPr="00DD77B8">
        <w:rPr>
          <w:rFonts w:hint="cs"/>
          <w:sz w:val="24"/>
          <w:rtl/>
        </w:rPr>
        <w:t xml:space="preserve"> בשנת 2027 ו2,684 </w:t>
      </w:r>
      <w:proofErr w:type="spellStart"/>
      <w:r w:rsidRPr="00DD77B8">
        <w:rPr>
          <w:rFonts w:hint="cs"/>
          <w:sz w:val="24"/>
          <w:rtl/>
        </w:rPr>
        <w:t>מלש"ח</w:t>
      </w:r>
      <w:proofErr w:type="spellEnd"/>
      <w:r w:rsidRPr="00DD77B8">
        <w:rPr>
          <w:rFonts w:hint="cs"/>
          <w:sz w:val="24"/>
          <w:rtl/>
        </w:rPr>
        <w:t xml:space="preserve"> בשנת 2028 ואילך. </w:t>
      </w: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DD77B8" w:rsidRPr="00DD77B8" w:rsidRDefault="00DD77B8" w:rsidP="00CE1A8A">
      <w:pPr>
        <w:pStyle w:val="Hesber1st"/>
        <w:tabs>
          <w:tab w:val="clear" w:pos="680"/>
        </w:tabs>
        <w:spacing w:line="360" w:lineRule="atLeast"/>
        <w:outlineLvl w:val="2"/>
        <w:rPr>
          <w:b/>
          <w:bCs/>
          <w:sz w:val="24"/>
          <w:rtl/>
        </w:rPr>
      </w:pPr>
      <w:r w:rsidRPr="00DD77B8">
        <w:rPr>
          <w:rFonts w:hint="cs"/>
          <w:b/>
          <w:bCs/>
          <w:sz w:val="24"/>
          <w:rtl/>
        </w:rPr>
        <w:lastRenderedPageBreak/>
        <w:t>לסעיף 1</w:t>
      </w: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DD77B8">
        <w:rPr>
          <w:rFonts w:hint="cs"/>
          <w:sz w:val="24"/>
          <w:rtl/>
        </w:rPr>
        <w:t xml:space="preserve">מוצע לתקן את התוספת הראשונה לצו התעריף, ולקבוע שיעורי מס קנייה בהתאם למפורט בטבלה שלעיל. עוד מוצע  להוסיף הגדרה למזוט דל </w:t>
      </w:r>
      <w:proofErr w:type="spellStart"/>
      <w:r w:rsidRPr="00DD77B8">
        <w:rPr>
          <w:rFonts w:hint="cs"/>
          <w:sz w:val="24"/>
          <w:rtl/>
        </w:rPr>
        <w:t>גפרית</w:t>
      </w:r>
      <w:proofErr w:type="spellEnd"/>
      <w:r w:rsidRPr="00DD77B8">
        <w:rPr>
          <w:rFonts w:hint="cs"/>
          <w:sz w:val="24"/>
          <w:rtl/>
        </w:rPr>
        <w:t xml:space="preserve">. תיקון זה יאפשר הטלה של בלו נמוך יותר על מזוט דל </w:t>
      </w:r>
      <w:proofErr w:type="spellStart"/>
      <w:r w:rsidRPr="00DD77B8">
        <w:rPr>
          <w:rFonts w:hint="cs"/>
          <w:sz w:val="24"/>
          <w:rtl/>
        </w:rPr>
        <w:t>גפרית</w:t>
      </w:r>
      <w:proofErr w:type="spellEnd"/>
      <w:r w:rsidRPr="00DD77B8">
        <w:rPr>
          <w:rFonts w:hint="cs"/>
          <w:sz w:val="24"/>
          <w:rtl/>
        </w:rPr>
        <w:t xml:space="preserve">, במטרה לעודד מעבר לדלק זה, שהינו נקי יותר. </w:t>
      </w: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DD77B8" w:rsidRPr="00DD77B8" w:rsidRDefault="00DD77B8" w:rsidP="00CE1A8A">
      <w:pPr>
        <w:pStyle w:val="Hesber1st"/>
        <w:tabs>
          <w:tab w:val="clear" w:pos="680"/>
        </w:tabs>
        <w:spacing w:line="360" w:lineRule="atLeast"/>
        <w:outlineLvl w:val="2"/>
        <w:rPr>
          <w:b/>
          <w:bCs/>
          <w:sz w:val="24"/>
          <w:rtl/>
        </w:rPr>
      </w:pPr>
      <w:r w:rsidRPr="00DD77B8">
        <w:rPr>
          <w:rFonts w:hint="cs"/>
          <w:b/>
          <w:bCs/>
          <w:sz w:val="24"/>
          <w:rtl/>
        </w:rPr>
        <w:t>לסעיף 2</w:t>
      </w: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DD77B8">
        <w:rPr>
          <w:rFonts w:hint="cs"/>
          <w:sz w:val="24"/>
          <w:rtl/>
        </w:rPr>
        <w:t xml:space="preserve">מוצע לקבוע הוראת שעה במסגרתה מס הקנייה יועלה בהדרגה במהלך השנים 2023 עד 2028, בהתאם למפורט בטבלה שלעיל. </w:t>
      </w:r>
    </w:p>
    <w:p w:rsidR="00DD77B8" w:rsidRPr="00DD77B8" w:rsidRDefault="00DD77B8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DD77B8" w:rsidRPr="00DD77B8" w:rsidRDefault="00DD77B8" w:rsidP="00CE1A8A">
      <w:pPr>
        <w:pStyle w:val="Hesber1st"/>
        <w:tabs>
          <w:tab w:val="clear" w:pos="680"/>
        </w:tabs>
        <w:spacing w:line="360" w:lineRule="atLeast"/>
        <w:outlineLvl w:val="2"/>
        <w:rPr>
          <w:b/>
          <w:bCs/>
          <w:sz w:val="24"/>
          <w:rtl/>
        </w:rPr>
      </w:pPr>
      <w:r w:rsidRPr="00DD77B8">
        <w:rPr>
          <w:rFonts w:hint="cs"/>
          <w:b/>
          <w:bCs/>
          <w:sz w:val="24"/>
          <w:rtl/>
        </w:rPr>
        <w:t>לסעיף 3</w:t>
      </w:r>
    </w:p>
    <w:p w:rsidR="00DD77B8" w:rsidRPr="00DD77B8" w:rsidRDefault="00DD77B8" w:rsidP="003C2D14">
      <w:pPr>
        <w:pStyle w:val="TableBlock"/>
        <w:keepLines w:val="0"/>
        <w:spacing w:line="360" w:lineRule="atLeast"/>
        <w:rPr>
          <w:sz w:val="24"/>
        </w:rPr>
      </w:pPr>
      <w:r w:rsidRPr="00DD77B8">
        <w:rPr>
          <w:rFonts w:hint="cs"/>
          <w:sz w:val="24"/>
          <w:rtl/>
        </w:rPr>
        <w:t xml:space="preserve">בהתאם לקבוע בהחלטת הממשלה, מוצע כי תחילתו של צו זה תהא מיום ח' בטבת </w:t>
      </w:r>
      <w:proofErr w:type="spellStart"/>
      <w:r w:rsidRPr="00DD77B8">
        <w:rPr>
          <w:rFonts w:hint="cs"/>
          <w:sz w:val="24"/>
          <w:rtl/>
        </w:rPr>
        <w:t>התשפ"ג</w:t>
      </w:r>
      <w:proofErr w:type="spellEnd"/>
      <w:r w:rsidRPr="00DD77B8">
        <w:rPr>
          <w:rFonts w:hint="cs"/>
          <w:sz w:val="24"/>
          <w:rtl/>
        </w:rPr>
        <w:t xml:space="preserve"> (1 בינואר 2023). </w:t>
      </w:r>
    </w:p>
    <w:p w:rsidR="00DD77B8" w:rsidRPr="00DD77B8" w:rsidRDefault="00DD77B8" w:rsidP="003C2D14">
      <w:pPr>
        <w:spacing w:line="360" w:lineRule="atLeast"/>
        <w:rPr>
          <w:sz w:val="24"/>
          <w:szCs w:val="24"/>
        </w:rPr>
      </w:pPr>
    </w:p>
    <w:p w:rsidR="00544934" w:rsidRPr="00DD77B8" w:rsidRDefault="00544934" w:rsidP="00CE1A8A">
      <w:pPr>
        <w:spacing w:line="360" w:lineRule="atLeast"/>
        <w:outlineLvl w:val="1"/>
        <w:rPr>
          <w:b/>
          <w:bCs/>
          <w:sz w:val="24"/>
          <w:szCs w:val="24"/>
          <w:u w:val="single"/>
          <w:rtl/>
        </w:rPr>
      </w:pPr>
      <w:r w:rsidRPr="00DD77B8">
        <w:rPr>
          <w:rFonts w:cs="Arial"/>
          <w:b/>
          <w:bCs/>
          <w:sz w:val="24"/>
          <w:szCs w:val="24"/>
          <w:u w:val="single"/>
          <w:rtl/>
        </w:rPr>
        <w:t xml:space="preserve">צו </w:t>
      </w:r>
      <w:r w:rsidRPr="00DD77B8">
        <w:rPr>
          <w:rFonts w:cs="Arial" w:hint="cs"/>
          <w:b/>
          <w:bCs/>
          <w:sz w:val="24"/>
          <w:szCs w:val="24"/>
          <w:u w:val="single"/>
          <w:rtl/>
        </w:rPr>
        <w:t xml:space="preserve"> הבלו על הדלק (הטלת בלו)  (תיקון והוראת שעה)</w:t>
      </w:r>
      <w:r w:rsidRPr="00DD77B8">
        <w:rPr>
          <w:rFonts w:cs="Arial"/>
          <w:b/>
          <w:bCs/>
          <w:sz w:val="24"/>
          <w:szCs w:val="24"/>
          <w:u w:val="single"/>
          <w:rtl/>
        </w:rPr>
        <w:t>, התשפ"ב-2021</w:t>
      </w: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3C2D14">
        <w:rPr>
          <w:sz w:val="24"/>
          <w:rtl/>
        </w:rPr>
        <w:t xml:space="preserve">בהמשך </w:t>
      </w:r>
      <w:r w:rsidRPr="003C2D14">
        <w:rPr>
          <w:rFonts w:hint="cs"/>
          <w:sz w:val="24"/>
          <w:rtl/>
        </w:rPr>
        <w:t>להחלטת הממשלה מס' 286 מיום 1 באוגוסט 2021 בנושא "</w:t>
      </w:r>
      <w:r w:rsidRPr="003C2D14">
        <w:rPr>
          <w:sz w:val="24"/>
          <w:rtl/>
        </w:rPr>
        <w:t>תמחור פליטות גזי חממה</w:t>
      </w:r>
      <w:r w:rsidRPr="003C2D14">
        <w:rPr>
          <w:rFonts w:hint="cs"/>
          <w:sz w:val="24"/>
          <w:rtl/>
        </w:rPr>
        <w:t xml:space="preserve">", במטרה </w:t>
      </w:r>
      <w:r w:rsidRPr="003C2D14">
        <w:rPr>
          <w:sz w:val="24"/>
          <w:rtl/>
        </w:rPr>
        <w:t>לפתור כשל שוק משמעותי הנגרם כאשר המזהם אינו משלם עבור הנזק הסביבתי שנגרם מפליטות גזי החממה</w:t>
      </w:r>
      <w:r w:rsidRPr="003C2D14">
        <w:rPr>
          <w:rFonts w:hint="cs"/>
          <w:sz w:val="24"/>
          <w:rtl/>
        </w:rPr>
        <w:t xml:space="preserve"> </w:t>
      </w:r>
      <w:r w:rsidRPr="003C2D14">
        <w:rPr>
          <w:sz w:val="24"/>
          <w:rtl/>
        </w:rPr>
        <w:t xml:space="preserve">להן גרם, ומשום שתמחור פליטות </w:t>
      </w:r>
      <w:r w:rsidRPr="003C2D14">
        <w:rPr>
          <w:rFonts w:hint="cs"/>
          <w:sz w:val="24"/>
          <w:rtl/>
        </w:rPr>
        <w:t xml:space="preserve">אלו </w:t>
      </w:r>
      <w:r w:rsidRPr="003C2D14">
        <w:rPr>
          <w:sz w:val="24"/>
          <w:rtl/>
        </w:rPr>
        <w:t>נחשב להסדרה היעילה והאפקטיבית ביותר לעידוד הפחתת</w:t>
      </w:r>
      <w:r w:rsidRPr="003C2D14">
        <w:rPr>
          <w:rFonts w:hint="cs"/>
          <w:sz w:val="24"/>
          <w:rtl/>
        </w:rPr>
        <w:t>ן</w:t>
      </w:r>
      <w:r w:rsidRPr="003C2D14">
        <w:rPr>
          <w:sz w:val="24"/>
          <w:rtl/>
        </w:rPr>
        <w:t xml:space="preserve"> וליצירת ודאות בשוק</w:t>
      </w:r>
      <w:r w:rsidRPr="003C2D14">
        <w:rPr>
          <w:rFonts w:hint="cs"/>
          <w:sz w:val="24"/>
          <w:rtl/>
        </w:rPr>
        <w:t xml:space="preserve">, מוצע בצו זה לתקן את צו </w:t>
      </w:r>
      <w:r w:rsidR="00FB0AF3" w:rsidRPr="003C2D14">
        <w:rPr>
          <w:rFonts w:hint="cs"/>
          <w:sz w:val="24"/>
          <w:rtl/>
        </w:rPr>
        <w:t xml:space="preserve">הבלו על דלק (הטלת בלו), התשס"ד-2004 (להלן-צו הטלת בלו)  </w:t>
      </w:r>
      <w:r w:rsidRPr="003C2D14">
        <w:rPr>
          <w:rFonts w:hint="cs"/>
          <w:sz w:val="24"/>
          <w:rtl/>
        </w:rPr>
        <w:t xml:space="preserve">ולהעלות את שיעורי </w:t>
      </w:r>
      <w:r w:rsidR="00FB0AF3" w:rsidRPr="003C2D14">
        <w:rPr>
          <w:rFonts w:hint="cs"/>
          <w:sz w:val="24"/>
          <w:rtl/>
        </w:rPr>
        <w:t xml:space="preserve"> הבלו</w:t>
      </w:r>
      <w:r w:rsidRPr="003C2D14">
        <w:rPr>
          <w:rFonts w:hint="cs"/>
          <w:sz w:val="24"/>
          <w:rtl/>
        </w:rPr>
        <w:t xml:space="preserve"> המוטלים על סוגים שונים של דלק בהדרגה החל מיום ח' בטבת </w:t>
      </w:r>
      <w:proofErr w:type="spellStart"/>
      <w:r w:rsidRPr="003C2D14">
        <w:rPr>
          <w:rFonts w:hint="cs"/>
          <w:sz w:val="24"/>
          <w:rtl/>
        </w:rPr>
        <w:t>התשפ"ג</w:t>
      </w:r>
      <w:proofErr w:type="spellEnd"/>
      <w:r w:rsidRPr="003C2D14">
        <w:rPr>
          <w:rFonts w:hint="cs"/>
          <w:sz w:val="24"/>
          <w:rtl/>
        </w:rPr>
        <w:t xml:space="preserve"> (1 בינואר 2023), </w:t>
      </w:r>
      <w:r w:rsidRPr="003C2D14">
        <w:rPr>
          <w:sz w:val="24"/>
          <w:rtl/>
        </w:rPr>
        <w:t xml:space="preserve">במתווה מדורג אשר יאפשר </w:t>
      </w:r>
      <w:r w:rsidRPr="003C2D14">
        <w:rPr>
          <w:rFonts w:hint="cs"/>
          <w:sz w:val="24"/>
          <w:rtl/>
        </w:rPr>
        <w:t>לשוק</w:t>
      </w:r>
      <w:r w:rsidRPr="003C2D14">
        <w:rPr>
          <w:sz w:val="24"/>
          <w:rtl/>
        </w:rPr>
        <w:t xml:space="preserve"> תקופת הסתגלות ו</w:t>
      </w:r>
      <w:r w:rsidRPr="003C2D14">
        <w:rPr>
          <w:rFonts w:hint="cs"/>
          <w:sz w:val="24"/>
          <w:rtl/>
        </w:rPr>
        <w:t xml:space="preserve">כן </w:t>
      </w:r>
      <w:r w:rsidRPr="003C2D14">
        <w:rPr>
          <w:sz w:val="24"/>
          <w:rtl/>
        </w:rPr>
        <w:t>ודאות כלכלית ורגולטורית</w:t>
      </w:r>
      <w:r w:rsidRPr="003C2D14">
        <w:rPr>
          <w:rFonts w:hint="cs"/>
          <w:sz w:val="24"/>
          <w:rtl/>
        </w:rPr>
        <w:t xml:space="preserve">, </w:t>
      </w:r>
      <w:r w:rsidRPr="003C2D14">
        <w:rPr>
          <w:sz w:val="24"/>
          <w:rtl/>
        </w:rPr>
        <w:t xml:space="preserve">יביא להפנמת </w:t>
      </w:r>
      <w:r w:rsidRPr="003C2D14">
        <w:rPr>
          <w:rFonts w:hint="cs"/>
          <w:sz w:val="24"/>
          <w:rtl/>
        </w:rPr>
        <w:t>ה</w:t>
      </w:r>
      <w:r w:rsidRPr="003C2D14">
        <w:rPr>
          <w:sz w:val="24"/>
          <w:rtl/>
        </w:rPr>
        <w:t xml:space="preserve">עלויות החיצוניות של הפליטות ויתמרץ התייעלות אנרגטית ומעבר </w:t>
      </w:r>
      <w:proofErr w:type="spellStart"/>
      <w:r w:rsidRPr="003C2D14">
        <w:rPr>
          <w:sz w:val="24"/>
          <w:rtl/>
        </w:rPr>
        <w:t>לדלקים</w:t>
      </w:r>
      <w:proofErr w:type="spellEnd"/>
      <w:r w:rsidRPr="003C2D14">
        <w:rPr>
          <w:sz w:val="24"/>
          <w:rtl/>
        </w:rPr>
        <w:t xml:space="preserve"> נקיים</w:t>
      </w:r>
      <w:r w:rsidRPr="003C2D14">
        <w:rPr>
          <w:rFonts w:hint="cs"/>
          <w:sz w:val="24"/>
          <w:rtl/>
        </w:rPr>
        <w:t>, והכל כפי שיפורט בטבלה שלהלן:</w:t>
      </w: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tbl>
      <w:tblPr>
        <w:bidiVisual/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172"/>
        <w:gridCol w:w="1172"/>
        <w:gridCol w:w="1191"/>
        <w:gridCol w:w="1192"/>
        <w:gridCol w:w="1192"/>
        <w:gridCol w:w="1196"/>
      </w:tblGrid>
      <w:tr w:rsidR="00544934" w:rsidTr="009C20BC">
        <w:tc>
          <w:tcPr>
            <w:tcW w:w="1520" w:type="dxa"/>
            <w:shd w:val="clear" w:color="auto" w:fill="auto"/>
          </w:tcPr>
          <w:p w:rsidR="00544934" w:rsidRPr="00D77A73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1375" w:type="dxa"/>
            <w:shd w:val="clear" w:color="auto" w:fill="auto"/>
          </w:tcPr>
          <w:p w:rsidR="00544934" w:rsidRPr="00D77A73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rtl/>
              </w:rPr>
            </w:pPr>
            <w:r w:rsidRPr="003C2D14">
              <w:rPr>
                <w:rFonts w:hint="cs"/>
                <w:b/>
                <w:bCs/>
                <w:sz w:val="24"/>
                <w:rtl/>
              </w:rPr>
              <w:t>2023</w:t>
            </w:r>
          </w:p>
        </w:tc>
        <w:tc>
          <w:tcPr>
            <w:tcW w:w="1375" w:type="dxa"/>
            <w:shd w:val="clear" w:color="auto" w:fill="auto"/>
          </w:tcPr>
          <w:p w:rsidR="00544934" w:rsidRPr="00D77A73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rtl/>
              </w:rPr>
            </w:pPr>
            <w:r w:rsidRPr="003C2D14">
              <w:rPr>
                <w:rFonts w:hint="cs"/>
                <w:b/>
                <w:bCs/>
                <w:sz w:val="24"/>
                <w:rtl/>
              </w:rPr>
              <w:t>2024</w:t>
            </w:r>
          </w:p>
        </w:tc>
        <w:tc>
          <w:tcPr>
            <w:tcW w:w="1375" w:type="dxa"/>
            <w:shd w:val="clear" w:color="auto" w:fill="auto"/>
          </w:tcPr>
          <w:p w:rsidR="00544934" w:rsidRPr="00D77A73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rtl/>
              </w:rPr>
            </w:pPr>
            <w:r w:rsidRPr="003C2D14">
              <w:rPr>
                <w:rFonts w:hint="cs"/>
                <w:b/>
                <w:bCs/>
                <w:sz w:val="24"/>
                <w:rtl/>
              </w:rPr>
              <w:t>2025</w:t>
            </w:r>
          </w:p>
        </w:tc>
        <w:tc>
          <w:tcPr>
            <w:tcW w:w="1376" w:type="dxa"/>
            <w:shd w:val="clear" w:color="auto" w:fill="auto"/>
          </w:tcPr>
          <w:p w:rsidR="00544934" w:rsidRPr="00D77A73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rtl/>
              </w:rPr>
            </w:pPr>
            <w:r w:rsidRPr="003C2D14">
              <w:rPr>
                <w:rFonts w:hint="cs"/>
                <w:b/>
                <w:bCs/>
                <w:sz w:val="24"/>
                <w:rtl/>
              </w:rPr>
              <w:t>2026</w:t>
            </w:r>
          </w:p>
        </w:tc>
        <w:tc>
          <w:tcPr>
            <w:tcW w:w="1376" w:type="dxa"/>
            <w:shd w:val="clear" w:color="auto" w:fill="auto"/>
          </w:tcPr>
          <w:p w:rsidR="00544934" w:rsidRPr="00D77A73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rtl/>
              </w:rPr>
            </w:pPr>
            <w:r w:rsidRPr="003C2D14">
              <w:rPr>
                <w:rFonts w:hint="cs"/>
                <w:b/>
                <w:bCs/>
                <w:sz w:val="24"/>
                <w:rtl/>
              </w:rPr>
              <w:t>2027</w:t>
            </w:r>
          </w:p>
        </w:tc>
        <w:tc>
          <w:tcPr>
            <w:tcW w:w="1376" w:type="dxa"/>
            <w:shd w:val="clear" w:color="auto" w:fill="auto"/>
          </w:tcPr>
          <w:p w:rsidR="00544934" w:rsidRPr="003C2D1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jc w:val="center"/>
              <w:rPr>
                <w:b/>
                <w:bCs/>
                <w:sz w:val="24"/>
                <w:rtl/>
              </w:rPr>
            </w:pPr>
            <w:r w:rsidRPr="003C2D14">
              <w:rPr>
                <w:rFonts w:hint="cs"/>
                <w:b/>
                <w:bCs/>
                <w:sz w:val="24"/>
                <w:rtl/>
              </w:rPr>
              <w:t>2028 ואילך</w:t>
            </w:r>
          </w:p>
        </w:tc>
      </w:tr>
      <w:tr w:rsidR="00544934" w:rsidTr="009C20BC">
        <w:tc>
          <w:tcPr>
            <w:tcW w:w="1520" w:type="dxa"/>
            <w:shd w:val="clear" w:color="auto" w:fill="auto"/>
          </w:tcPr>
          <w:p w:rsidR="00544934" w:rsidRPr="003C2D14" w:rsidRDefault="00544934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3C2D14">
              <w:rPr>
                <w:rFonts w:eastAsia="MS Mincho"/>
                <w:b/>
                <w:bCs/>
                <w:sz w:val="24"/>
                <w:szCs w:val="24"/>
                <w:rtl/>
              </w:rPr>
              <w:t>גז טבעי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29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45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65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91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126</w:t>
            </w:r>
          </w:p>
        </w:tc>
        <w:tc>
          <w:tcPr>
            <w:tcW w:w="1376" w:type="dxa"/>
            <w:shd w:val="clear" w:color="auto" w:fill="auto"/>
          </w:tcPr>
          <w:p w:rsidR="00544934" w:rsidRPr="003C2D1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3C2D14">
              <w:rPr>
                <w:rFonts w:hint="cs"/>
                <w:sz w:val="24"/>
                <w:rtl/>
              </w:rPr>
              <w:t>170</w:t>
            </w:r>
          </w:p>
        </w:tc>
      </w:tr>
      <w:tr w:rsidR="00544934" w:rsidTr="009C20BC">
        <w:tc>
          <w:tcPr>
            <w:tcW w:w="1520" w:type="dxa"/>
            <w:shd w:val="clear" w:color="auto" w:fill="auto"/>
          </w:tcPr>
          <w:p w:rsidR="00544934" w:rsidRPr="003C2D14" w:rsidRDefault="00544934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3C2D14">
              <w:rPr>
                <w:rFonts w:eastAsia="MS Mincho"/>
                <w:b/>
                <w:bCs/>
                <w:sz w:val="24"/>
                <w:szCs w:val="24"/>
                <w:rtl/>
              </w:rPr>
              <w:t>גפ"ם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158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205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266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345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448</w:t>
            </w:r>
          </w:p>
        </w:tc>
        <w:tc>
          <w:tcPr>
            <w:tcW w:w="1376" w:type="dxa"/>
            <w:shd w:val="clear" w:color="auto" w:fill="auto"/>
          </w:tcPr>
          <w:p w:rsidR="00544934" w:rsidRPr="003C2D1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3C2D14">
              <w:rPr>
                <w:rFonts w:hint="cs"/>
                <w:sz w:val="24"/>
                <w:rtl/>
              </w:rPr>
              <w:t>582</w:t>
            </w:r>
          </w:p>
        </w:tc>
      </w:tr>
      <w:tr w:rsidR="00544934" w:rsidTr="009C20BC">
        <w:tc>
          <w:tcPr>
            <w:tcW w:w="1520" w:type="dxa"/>
            <w:shd w:val="clear" w:color="auto" w:fill="auto"/>
          </w:tcPr>
          <w:p w:rsidR="00544934" w:rsidRPr="003C2D14" w:rsidRDefault="00544934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3C2D14">
              <w:rPr>
                <w:rFonts w:eastAsia="MS Mincho"/>
                <w:b/>
                <w:bCs/>
                <w:sz w:val="24"/>
                <w:szCs w:val="24"/>
                <w:rtl/>
              </w:rPr>
              <w:t>מזוט  0.5%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79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163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271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412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595</w:t>
            </w:r>
          </w:p>
        </w:tc>
        <w:tc>
          <w:tcPr>
            <w:tcW w:w="1376" w:type="dxa"/>
            <w:shd w:val="clear" w:color="auto" w:fill="auto"/>
          </w:tcPr>
          <w:p w:rsidR="00544934" w:rsidRPr="003C2D1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3C2D14">
              <w:rPr>
                <w:rFonts w:hint="cs"/>
                <w:sz w:val="24"/>
                <w:rtl/>
              </w:rPr>
              <w:t>833</w:t>
            </w:r>
          </w:p>
        </w:tc>
      </w:tr>
      <w:tr w:rsidR="00544934" w:rsidTr="009C20BC">
        <w:tc>
          <w:tcPr>
            <w:tcW w:w="1520" w:type="dxa"/>
            <w:shd w:val="clear" w:color="auto" w:fill="auto"/>
          </w:tcPr>
          <w:p w:rsidR="00544934" w:rsidRPr="003C2D14" w:rsidRDefault="00544934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3C2D14">
              <w:rPr>
                <w:rFonts w:eastAsia="MS Mincho"/>
                <w:b/>
                <w:bCs/>
                <w:sz w:val="24"/>
                <w:szCs w:val="24"/>
                <w:rtl/>
              </w:rPr>
              <w:t>מזוט</w:t>
            </w:r>
            <w:r w:rsidRPr="003C2D14">
              <w:rPr>
                <w:rFonts w:eastAsia="MS Mincho" w:hint="cs"/>
                <w:b/>
                <w:bCs/>
                <w:sz w:val="24"/>
                <w:szCs w:val="24"/>
                <w:rtl/>
              </w:rPr>
              <w:t xml:space="preserve"> 1%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867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951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1,059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1,200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1,383</w:t>
            </w:r>
          </w:p>
        </w:tc>
        <w:tc>
          <w:tcPr>
            <w:tcW w:w="1376" w:type="dxa"/>
            <w:shd w:val="clear" w:color="auto" w:fill="auto"/>
          </w:tcPr>
          <w:p w:rsidR="00544934" w:rsidRPr="003C2D1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3C2D14">
              <w:rPr>
                <w:rFonts w:hint="cs"/>
                <w:sz w:val="24"/>
                <w:rtl/>
              </w:rPr>
              <w:t>1,621</w:t>
            </w:r>
          </w:p>
        </w:tc>
      </w:tr>
      <w:tr w:rsidR="00544934" w:rsidTr="009C20BC">
        <w:tc>
          <w:tcPr>
            <w:tcW w:w="1520" w:type="dxa"/>
            <w:shd w:val="clear" w:color="auto" w:fill="auto"/>
          </w:tcPr>
          <w:p w:rsidR="00544934" w:rsidRPr="003C2D14" w:rsidRDefault="00544934" w:rsidP="003C2D14">
            <w:pPr>
              <w:bidi w:val="0"/>
              <w:spacing w:line="360" w:lineRule="atLeast"/>
              <w:jc w:val="right"/>
              <w:rPr>
                <w:rFonts w:eastAsia="MS Mincho"/>
                <w:b/>
                <w:bCs/>
                <w:sz w:val="24"/>
                <w:szCs w:val="24"/>
              </w:rPr>
            </w:pPr>
            <w:r w:rsidRPr="003C2D14">
              <w:rPr>
                <w:rFonts w:eastAsia="MS Mincho"/>
                <w:b/>
                <w:bCs/>
                <w:sz w:val="24"/>
                <w:szCs w:val="24"/>
                <w:rtl/>
              </w:rPr>
              <w:t>פחם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131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167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214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274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353</w:t>
            </w:r>
          </w:p>
        </w:tc>
        <w:tc>
          <w:tcPr>
            <w:tcW w:w="1376" w:type="dxa"/>
            <w:shd w:val="clear" w:color="auto" w:fill="auto"/>
          </w:tcPr>
          <w:p w:rsidR="00544934" w:rsidRPr="003C2D1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3C2D14">
              <w:rPr>
                <w:rFonts w:hint="cs"/>
                <w:sz w:val="24"/>
                <w:rtl/>
              </w:rPr>
              <w:t>456</w:t>
            </w:r>
          </w:p>
        </w:tc>
      </w:tr>
      <w:tr w:rsidR="00544934" w:rsidRPr="003C2D14" w:rsidTr="009C20BC">
        <w:tc>
          <w:tcPr>
            <w:tcW w:w="1520" w:type="dxa"/>
            <w:shd w:val="clear" w:color="auto" w:fill="auto"/>
          </w:tcPr>
          <w:p w:rsidR="00544934" w:rsidRPr="003C2D14" w:rsidRDefault="00544934" w:rsidP="003C2D14">
            <w:pPr>
              <w:spacing w:line="360" w:lineRule="atLeast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proofErr w:type="spellStart"/>
            <w:r w:rsidRPr="003C2D14">
              <w:rPr>
                <w:rFonts w:eastAsia="MS Mincho"/>
                <w:b/>
                <w:bCs/>
                <w:sz w:val="24"/>
                <w:szCs w:val="24"/>
                <w:rtl/>
              </w:rPr>
              <w:t>פטקוק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92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151</w:t>
            </w:r>
          </w:p>
        </w:tc>
        <w:tc>
          <w:tcPr>
            <w:tcW w:w="1375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227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327</w:t>
            </w:r>
          </w:p>
        </w:tc>
        <w:tc>
          <w:tcPr>
            <w:tcW w:w="1376" w:type="dxa"/>
            <w:shd w:val="clear" w:color="auto" w:fill="auto"/>
          </w:tcPr>
          <w:p w:rsidR="0054493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rtl/>
              </w:rPr>
            </w:pPr>
            <w:r w:rsidRPr="003C2D14">
              <w:rPr>
                <w:rFonts w:hint="cs"/>
                <w:sz w:val="24"/>
                <w:rtl/>
              </w:rPr>
              <w:t>457</w:t>
            </w:r>
          </w:p>
        </w:tc>
        <w:tc>
          <w:tcPr>
            <w:tcW w:w="1376" w:type="dxa"/>
            <w:shd w:val="clear" w:color="auto" w:fill="auto"/>
          </w:tcPr>
          <w:p w:rsidR="00544934" w:rsidRPr="003C2D14" w:rsidRDefault="00544934" w:rsidP="003C2D14">
            <w:pPr>
              <w:pStyle w:val="Hesber1st"/>
              <w:tabs>
                <w:tab w:val="clear" w:pos="680"/>
              </w:tabs>
              <w:spacing w:line="360" w:lineRule="atLeast"/>
              <w:rPr>
                <w:sz w:val="24"/>
                <w:rtl/>
              </w:rPr>
            </w:pPr>
            <w:r w:rsidRPr="003C2D14">
              <w:rPr>
                <w:rFonts w:hint="cs"/>
                <w:sz w:val="24"/>
                <w:rtl/>
              </w:rPr>
              <w:t>625</w:t>
            </w:r>
          </w:p>
        </w:tc>
      </w:tr>
    </w:tbl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3C2D14">
        <w:rPr>
          <w:rFonts w:hint="cs"/>
          <w:sz w:val="24"/>
          <w:rtl/>
        </w:rPr>
        <w:t xml:space="preserve">יצוין כי במקביל לקידומו של צו זה מקודם גם תיקון של צו </w:t>
      </w:r>
      <w:r w:rsidR="00FB0AF3" w:rsidRPr="003C2D14">
        <w:rPr>
          <w:rFonts w:hint="cs"/>
          <w:sz w:val="24"/>
          <w:rtl/>
        </w:rPr>
        <w:t xml:space="preserve">תעריף המכס והפטורים ומס קניה על טובין, </w:t>
      </w:r>
      <w:proofErr w:type="spellStart"/>
      <w:r w:rsidR="00FB0AF3" w:rsidRPr="003C2D14">
        <w:rPr>
          <w:rFonts w:hint="cs"/>
          <w:sz w:val="24"/>
          <w:rtl/>
        </w:rPr>
        <w:t>התשע"ז</w:t>
      </w:r>
      <w:proofErr w:type="spellEnd"/>
      <w:r w:rsidR="00FB0AF3" w:rsidRPr="003C2D14">
        <w:rPr>
          <w:rFonts w:hint="cs"/>
          <w:sz w:val="24"/>
          <w:rtl/>
        </w:rPr>
        <w:t xml:space="preserve"> 2017, כך שמס הקניה על </w:t>
      </w:r>
      <w:proofErr w:type="spellStart"/>
      <w:r w:rsidR="00FB0AF3" w:rsidRPr="003C2D14">
        <w:rPr>
          <w:rFonts w:hint="cs"/>
          <w:sz w:val="24"/>
          <w:rtl/>
        </w:rPr>
        <w:t>הדלקים</w:t>
      </w:r>
      <w:proofErr w:type="spellEnd"/>
      <w:r w:rsidR="00FB0AF3" w:rsidRPr="003C2D14">
        <w:rPr>
          <w:rFonts w:hint="cs"/>
          <w:sz w:val="24"/>
          <w:rtl/>
        </w:rPr>
        <w:t xml:space="preserve"> האלו יועלה בהתאמה.</w:t>
      </w: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3C2D14">
        <w:rPr>
          <w:rFonts w:hint="cs"/>
          <w:sz w:val="24"/>
          <w:rtl/>
        </w:rPr>
        <w:t xml:space="preserve">כתוצאה מצו זה </w:t>
      </w:r>
      <w:r w:rsidRPr="003C2D14">
        <w:rPr>
          <w:sz w:val="24"/>
          <w:rtl/>
        </w:rPr>
        <w:t xml:space="preserve">ומהתיקון המקביל כאמור בצו </w:t>
      </w:r>
      <w:r w:rsidR="00FB0AF3" w:rsidRPr="003C2D14">
        <w:rPr>
          <w:rFonts w:hint="cs"/>
          <w:sz w:val="24"/>
          <w:rtl/>
        </w:rPr>
        <w:t xml:space="preserve">תעריף המכס והפטורים ומס קניה על טובין, </w:t>
      </w:r>
      <w:proofErr w:type="spellStart"/>
      <w:r w:rsidR="00FB0AF3" w:rsidRPr="003C2D14">
        <w:rPr>
          <w:rFonts w:hint="cs"/>
          <w:sz w:val="24"/>
          <w:rtl/>
        </w:rPr>
        <w:t>התשע"ז</w:t>
      </w:r>
      <w:proofErr w:type="spellEnd"/>
      <w:r w:rsidR="00FB0AF3" w:rsidRPr="003C2D14">
        <w:rPr>
          <w:rFonts w:hint="cs"/>
          <w:sz w:val="24"/>
          <w:rtl/>
        </w:rPr>
        <w:t xml:space="preserve"> 2017 </w:t>
      </w:r>
      <w:r w:rsidRPr="003C2D14">
        <w:rPr>
          <w:rFonts w:hint="cs"/>
          <w:sz w:val="24"/>
          <w:rtl/>
        </w:rPr>
        <w:t xml:space="preserve">צפוי גידול בהכנסות המדינה ממסים של 286 </w:t>
      </w:r>
      <w:proofErr w:type="spellStart"/>
      <w:r w:rsidRPr="003C2D14">
        <w:rPr>
          <w:rFonts w:hint="cs"/>
          <w:sz w:val="24"/>
          <w:rtl/>
        </w:rPr>
        <w:t>מלש"ח</w:t>
      </w:r>
      <w:proofErr w:type="spellEnd"/>
      <w:r w:rsidRPr="003C2D14">
        <w:rPr>
          <w:rFonts w:hint="cs"/>
          <w:sz w:val="24"/>
          <w:rtl/>
        </w:rPr>
        <w:t xml:space="preserve"> בשנת 2023, 637 </w:t>
      </w:r>
      <w:proofErr w:type="spellStart"/>
      <w:r w:rsidRPr="003C2D14">
        <w:rPr>
          <w:rFonts w:hint="cs"/>
          <w:sz w:val="24"/>
          <w:rtl/>
        </w:rPr>
        <w:t>מלש"ח</w:t>
      </w:r>
      <w:proofErr w:type="spellEnd"/>
      <w:r w:rsidRPr="003C2D14">
        <w:rPr>
          <w:rFonts w:hint="cs"/>
          <w:sz w:val="24"/>
          <w:rtl/>
        </w:rPr>
        <w:t xml:space="preserve"> בשנת 2024, 898 </w:t>
      </w:r>
      <w:proofErr w:type="spellStart"/>
      <w:r w:rsidRPr="003C2D14">
        <w:rPr>
          <w:rFonts w:hint="cs"/>
          <w:sz w:val="24"/>
          <w:rtl/>
        </w:rPr>
        <w:t>מלש"ח</w:t>
      </w:r>
      <w:proofErr w:type="spellEnd"/>
      <w:r w:rsidRPr="003C2D14">
        <w:rPr>
          <w:rFonts w:hint="cs"/>
          <w:sz w:val="24"/>
          <w:rtl/>
        </w:rPr>
        <w:t xml:space="preserve"> בשנת 2025, 1,277 </w:t>
      </w:r>
      <w:proofErr w:type="spellStart"/>
      <w:r w:rsidRPr="003C2D14">
        <w:rPr>
          <w:rFonts w:hint="cs"/>
          <w:sz w:val="24"/>
          <w:rtl/>
        </w:rPr>
        <w:t>מלש"ח</w:t>
      </w:r>
      <w:proofErr w:type="spellEnd"/>
      <w:r w:rsidRPr="003C2D14">
        <w:rPr>
          <w:rFonts w:hint="cs"/>
          <w:sz w:val="24"/>
          <w:rtl/>
        </w:rPr>
        <w:t xml:space="preserve"> בשנת 2026, 1,894 </w:t>
      </w:r>
      <w:proofErr w:type="spellStart"/>
      <w:r w:rsidRPr="003C2D14">
        <w:rPr>
          <w:rFonts w:hint="cs"/>
          <w:sz w:val="24"/>
          <w:rtl/>
        </w:rPr>
        <w:t>מלש"ח</w:t>
      </w:r>
      <w:proofErr w:type="spellEnd"/>
      <w:r w:rsidRPr="003C2D14">
        <w:rPr>
          <w:rFonts w:hint="cs"/>
          <w:sz w:val="24"/>
          <w:rtl/>
        </w:rPr>
        <w:t xml:space="preserve"> בשנת 2027 ו2,684 </w:t>
      </w:r>
      <w:proofErr w:type="spellStart"/>
      <w:r w:rsidRPr="003C2D14">
        <w:rPr>
          <w:rFonts w:hint="cs"/>
          <w:sz w:val="24"/>
          <w:rtl/>
        </w:rPr>
        <w:t>מלש"ח</w:t>
      </w:r>
      <w:proofErr w:type="spellEnd"/>
      <w:r w:rsidRPr="003C2D14">
        <w:rPr>
          <w:rFonts w:hint="cs"/>
          <w:sz w:val="24"/>
          <w:rtl/>
        </w:rPr>
        <w:t xml:space="preserve"> בשנת 2028 ואילך. </w:t>
      </w: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544934" w:rsidRPr="003C2D14" w:rsidRDefault="00544934" w:rsidP="00CE1A8A">
      <w:pPr>
        <w:pStyle w:val="Hesber1st"/>
        <w:tabs>
          <w:tab w:val="clear" w:pos="680"/>
        </w:tabs>
        <w:spacing w:line="360" w:lineRule="atLeast"/>
        <w:outlineLvl w:val="2"/>
        <w:rPr>
          <w:b/>
          <w:bCs/>
          <w:sz w:val="24"/>
          <w:rtl/>
        </w:rPr>
      </w:pPr>
      <w:r w:rsidRPr="003C2D14">
        <w:rPr>
          <w:rFonts w:hint="cs"/>
          <w:b/>
          <w:bCs/>
          <w:sz w:val="24"/>
          <w:rtl/>
        </w:rPr>
        <w:t>לסעיף 1</w:t>
      </w:r>
    </w:p>
    <w:p w:rsidR="00544934" w:rsidRPr="003C2D14" w:rsidRDefault="00FB0AF3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3C2D14">
        <w:rPr>
          <w:rFonts w:hint="cs"/>
          <w:sz w:val="24"/>
          <w:rtl/>
        </w:rPr>
        <w:t>מוצע להוסיף לצו הטלת בלו הגדרות למזוט דל גופרית ולמזוט אחר, פיצול זה יאפשר הטלה של בלו נמוך יותר על מזוט דל גופרית</w:t>
      </w:r>
      <w:r w:rsidR="003C2D14" w:rsidRPr="003C2D14">
        <w:rPr>
          <w:rFonts w:hint="cs"/>
          <w:sz w:val="24"/>
          <w:rtl/>
        </w:rPr>
        <w:t>, במטרה לעודד מעבר לדלק זה, שהינו נקי יותר.</w:t>
      </w:r>
      <w:r w:rsidRPr="003C2D14">
        <w:rPr>
          <w:rFonts w:hint="cs"/>
          <w:sz w:val="24"/>
          <w:rtl/>
        </w:rPr>
        <w:t xml:space="preserve"> </w:t>
      </w:r>
    </w:p>
    <w:p w:rsidR="00544934" w:rsidRPr="003C2D14" w:rsidRDefault="0054493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544934" w:rsidRPr="003C2D14" w:rsidRDefault="00544934" w:rsidP="00CE1A8A">
      <w:pPr>
        <w:pStyle w:val="Hesber1st"/>
        <w:tabs>
          <w:tab w:val="clear" w:pos="680"/>
        </w:tabs>
        <w:spacing w:line="360" w:lineRule="atLeast"/>
        <w:outlineLvl w:val="2"/>
        <w:rPr>
          <w:b/>
          <w:bCs/>
          <w:sz w:val="24"/>
          <w:rtl/>
        </w:rPr>
      </w:pPr>
      <w:r w:rsidRPr="003C2D14">
        <w:rPr>
          <w:rFonts w:hint="cs"/>
          <w:b/>
          <w:bCs/>
          <w:sz w:val="24"/>
          <w:rtl/>
        </w:rPr>
        <w:t>לסעיף 2</w:t>
      </w:r>
    </w:p>
    <w:p w:rsidR="00544934" w:rsidRPr="003C2D14" w:rsidRDefault="003C2D1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3C2D14">
        <w:rPr>
          <w:rFonts w:hint="cs"/>
          <w:sz w:val="24"/>
          <w:rtl/>
        </w:rPr>
        <w:t>מוצע לתקן את התוספת לצו הטלת בלו, ולקבוע שיעורי בלו בהתאם למפורט בטבלה שלעיל.</w:t>
      </w:r>
      <w:r w:rsidR="00544934" w:rsidRPr="003C2D14">
        <w:rPr>
          <w:rFonts w:hint="cs"/>
          <w:sz w:val="24"/>
          <w:rtl/>
        </w:rPr>
        <w:t xml:space="preserve"> </w:t>
      </w:r>
    </w:p>
    <w:p w:rsidR="003C2D14" w:rsidRPr="003C2D14" w:rsidRDefault="003C2D1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544934" w:rsidRPr="003C2D14" w:rsidRDefault="003C2D14" w:rsidP="00CE1A8A">
      <w:pPr>
        <w:pStyle w:val="Hesber1st"/>
        <w:tabs>
          <w:tab w:val="clear" w:pos="680"/>
        </w:tabs>
        <w:spacing w:line="360" w:lineRule="atLeast"/>
        <w:outlineLvl w:val="2"/>
        <w:rPr>
          <w:b/>
          <w:bCs/>
          <w:sz w:val="24"/>
          <w:rtl/>
        </w:rPr>
      </w:pPr>
      <w:r w:rsidRPr="003C2D14">
        <w:rPr>
          <w:rFonts w:hint="cs"/>
          <w:b/>
          <w:bCs/>
          <w:sz w:val="24"/>
          <w:rtl/>
        </w:rPr>
        <w:t>לסעיף 3</w:t>
      </w:r>
    </w:p>
    <w:p w:rsidR="003C2D14" w:rsidRPr="003C2D14" w:rsidRDefault="003C2D1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  <w:r w:rsidRPr="003C2D14">
        <w:rPr>
          <w:rFonts w:hint="cs"/>
          <w:sz w:val="24"/>
          <w:rtl/>
        </w:rPr>
        <w:t>מוצע לקבוע הוראת שעה במסגרתה הבלו יועלה בהדרגה במהלך השנים 2023 עד 2028, בהתאם למפורט בטבלה שלעיל.</w:t>
      </w:r>
    </w:p>
    <w:p w:rsidR="003C2D14" w:rsidRPr="003C2D14" w:rsidRDefault="003C2D14" w:rsidP="003C2D14">
      <w:pPr>
        <w:pStyle w:val="Hesber1st"/>
        <w:tabs>
          <w:tab w:val="clear" w:pos="680"/>
        </w:tabs>
        <w:spacing w:line="360" w:lineRule="atLeast"/>
        <w:rPr>
          <w:sz w:val="24"/>
          <w:rtl/>
        </w:rPr>
      </w:pPr>
    </w:p>
    <w:p w:rsidR="00544934" w:rsidRPr="003C2D14" w:rsidRDefault="00544934" w:rsidP="00CE1A8A">
      <w:pPr>
        <w:pStyle w:val="Hesber1st"/>
        <w:tabs>
          <w:tab w:val="clear" w:pos="680"/>
        </w:tabs>
        <w:spacing w:line="360" w:lineRule="atLeast"/>
        <w:outlineLvl w:val="2"/>
        <w:rPr>
          <w:b/>
          <w:bCs/>
          <w:sz w:val="24"/>
          <w:rtl/>
        </w:rPr>
      </w:pPr>
      <w:r w:rsidRPr="003C2D14">
        <w:rPr>
          <w:rFonts w:hint="cs"/>
          <w:b/>
          <w:bCs/>
          <w:sz w:val="24"/>
          <w:rtl/>
        </w:rPr>
        <w:t xml:space="preserve">לסעיף </w:t>
      </w:r>
      <w:r w:rsidR="003C2D14" w:rsidRPr="003C2D14">
        <w:rPr>
          <w:rFonts w:hint="cs"/>
          <w:b/>
          <w:bCs/>
          <w:sz w:val="24"/>
          <w:rtl/>
        </w:rPr>
        <w:t>4</w:t>
      </w:r>
    </w:p>
    <w:p w:rsidR="00544934" w:rsidRPr="003C2D14" w:rsidRDefault="00544934" w:rsidP="003C2D14">
      <w:pPr>
        <w:pStyle w:val="TableBlock"/>
        <w:keepLines w:val="0"/>
        <w:spacing w:line="360" w:lineRule="atLeast"/>
        <w:rPr>
          <w:sz w:val="24"/>
        </w:rPr>
      </w:pPr>
      <w:r w:rsidRPr="003C2D14">
        <w:rPr>
          <w:rFonts w:hint="cs"/>
          <w:sz w:val="24"/>
          <w:rtl/>
        </w:rPr>
        <w:t xml:space="preserve">בהתאם לקבוע בהחלטת הממשלה, מוצע כי תחילתו של צו זה תהא מיום ח' בטבת </w:t>
      </w:r>
      <w:proofErr w:type="spellStart"/>
      <w:r w:rsidRPr="003C2D14">
        <w:rPr>
          <w:rFonts w:hint="cs"/>
          <w:sz w:val="24"/>
          <w:rtl/>
        </w:rPr>
        <w:t>התשפ"ג</w:t>
      </w:r>
      <w:proofErr w:type="spellEnd"/>
      <w:r w:rsidRPr="003C2D14">
        <w:rPr>
          <w:rFonts w:hint="cs"/>
          <w:sz w:val="24"/>
          <w:rtl/>
        </w:rPr>
        <w:t xml:space="preserve"> (1 בינואר 2023). </w:t>
      </w:r>
    </w:p>
    <w:p w:rsidR="00544934" w:rsidRPr="003C2D14" w:rsidRDefault="00544934" w:rsidP="003C2D14">
      <w:pPr>
        <w:spacing w:line="360" w:lineRule="atLeast"/>
        <w:rPr>
          <w:sz w:val="24"/>
          <w:szCs w:val="24"/>
        </w:rPr>
      </w:pPr>
    </w:p>
    <w:p w:rsidR="00DD77B8" w:rsidRPr="00DD77B8" w:rsidRDefault="00DD77B8" w:rsidP="003C2D14">
      <w:pPr>
        <w:spacing w:line="360" w:lineRule="atLeast"/>
        <w:rPr>
          <w:b/>
          <w:bCs/>
          <w:sz w:val="24"/>
          <w:szCs w:val="24"/>
          <w:u w:val="single"/>
          <w:rtl/>
        </w:rPr>
      </w:pPr>
    </w:p>
    <w:sectPr w:rsidR="00DD77B8" w:rsidRPr="00DD77B8" w:rsidSect="000B24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3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ParaNumber" w:val="151"/>
  </w:docVars>
  <w:rsids>
    <w:rsidRoot w:val="005072F1"/>
    <w:rsid w:val="00014CE9"/>
    <w:rsid w:val="000658C5"/>
    <w:rsid w:val="00073A40"/>
    <w:rsid w:val="00076C83"/>
    <w:rsid w:val="000B244F"/>
    <w:rsid w:val="00105D43"/>
    <w:rsid w:val="00115A99"/>
    <w:rsid w:val="00124050"/>
    <w:rsid w:val="001470ED"/>
    <w:rsid w:val="00184BBB"/>
    <w:rsid w:val="00185720"/>
    <w:rsid w:val="002414F9"/>
    <w:rsid w:val="00264566"/>
    <w:rsid w:val="00285E59"/>
    <w:rsid w:val="002E672E"/>
    <w:rsid w:val="002F65FD"/>
    <w:rsid w:val="00317953"/>
    <w:rsid w:val="00352DA6"/>
    <w:rsid w:val="00363358"/>
    <w:rsid w:val="003846CD"/>
    <w:rsid w:val="00387C0A"/>
    <w:rsid w:val="003A35A4"/>
    <w:rsid w:val="003B20D7"/>
    <w:rsid w:val="003C2D14"/>
    <w:rsid w:val="003C6DA0"/>
    <w:rsid w:val="00402B3D"/>
    <w:rsid w:val="00407B74"/>
    <w:rsid w:val="00437A6D"/>
    <w:rsid w:val="00446E0F"/>
    <w:rsid w:val="004E3CD8"/>
    <w:rsid w:val="005072F1"/>
    <w:rsid w:val="00512F1D"/>
    <w:rsid w:val="005161D1"/>
    <w:rsid w:val="00531D26"/>
    <w:rsid w:val="005433D4"/>
    <w:rsid w:val="00544934"/>
    <w:rsid w:val="00587D9C"/>
    <w:rsid w:val="00644E1D"/>
    <w:rsid w:val="00713928"/>
    <w:rsid w:val="0072190B"/>
    <w:rsid w:val="00723B54"/>
    <w:rsid w:val="00785D30"/>
    <w:rsid w:val="00794E97"/>
    <w:rsid w:val="007A76EF"/>
    <w:rsid w:val="007C1516"/>
    <w:rsid w:val="007D0B49"/>
    <w:rsid w:val="007D2722"/>
    <w:rsid w:val="007F4A1F"/>
    <w:rsid w:val="00892250"/>
    <w:rsid w:val="008E2887"/>
    <w:rsid w:val="00903475"/>
    <w:rsid w:val="009141E8"/>
    <w:rsid w:val="00945B9D"/>
    <w:rsid w:val="00975E68"/>
    <w:rsid w:val="009A1F54"/>
    <w:rsid w:val="00A143DF"/>
    <w:rsid w:val="00A22DCB"/>
    <w:rsid w:val="00A24E05"/>
    <w:rsid w:val="00A2745A"/>
    <w:rsid w:val="00A419BB"/>
    <w:rsid w:val="00A6089C"/>
    <w:rsid w:val="00AA0B3E"/>
    <w:rsid w:val="00AA30EB"/>
    <w:rsid w:val="00B70095"/>
    <w:rsid w:val="00B773F1"/>
    <w:rsid w:val="00BC385E"/>
    <w:rsid w:val="00BE4E1C"/>
    <w:rsid w:val="00BF48F5"/>
    <w:rsid w:val="00C00C96"/>
    <w:rsid w:val="00C2591E"/>
    <w:rsid w:val="00CE1A8A"/>
    <w:rsid w:val="00D368AF"/>
    <w:rsid w:val="00DB766A"/>
    <w:rsid w:val="00DD69CE"/>
    <w:rsid w:val="00DD77B8"/>
    <w:rsid w:val="00E130AB"/>
    <w:rsid w:val="00E23337"/>
    <w:rsid w:val="00E270ED"/>
    <w:rsid w:val="00E42BD9"/>
    <w:rsid w:val="00E61425"/>
    <w:rsid w:val="00E752CF"/>
    <w:rsid w:val="00F271AA"/>
    <w:rsid w:val="00F65CE6"/>
    <w:rsid w:val="00FA4624"/>
    <w:rsid w:val="00FB0AF3"/>
    <w:rsid w:val="00FD4520"/>
    <w:rsid w:val="00FF161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47907A-ECF3-4CE6-AD8B-1BC7478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C5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05D43"/>
    <w:pPr>
      <w:outlineLvl w:val="0"/>
    </w:pPr>
    <w:rPr>
      <w:rFonts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05D43"/>
    <w:pPr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05D43"/>
    <w:rPr>
      <w:rFonts w:cs="Arial"/>
      <w:b/>
      <w:bCs/>
      <w:sz w:val="24"/>
      <w:szCs w:val="24"/>
      <w:u w:val="single"/>
    </w:rPr>
  </w:style>
  <w:style w:type="character" w:customStyle="1" w:styleId="20">
    <w:name w:val="כותרת 2 תו"/>
    <w:basedOn w:val="a0"/>
    <w:link w:val="2"/>
    <w:uiPriority w:val="9"/>
    <w:rsid w:val="00105D43"/>
    <w:rPr>
      <w:b/>
      <w:bCs/>
      <w:sz w:val="24"/>
      <w:szCs w:val="24"/>
      <w:u w:val="single"/>
    </w:rPr>
  </w:style>
  <w:style w:type="paragraph" w:customStyle="1" w:styleId="TableBlock">
    <w:name w:val="Table Block"/>
    <w:basedOn w:val="a"/>
    <w:rsid w:val="00DD77B8"/>
    <w:pPr>
      <w:keepLines/>
      <w:widowControl w:val="0"/>
      <w:tabs>
        <w:tab w:val="left" w:pos="624"/>
        <w:tab w:val="left" w:pos="1247"/>
      </w:tabs>
      <w:snapToGrid w:val="0"/>
      <w:spacing w:after="0" w:line="360" w:lineRule="auto"/>
      <w:contextualSpacing/>
      <w:jc w:val="both"/>
    </w:pPr>
    <w:rPr>
      <w:rFonts w:ascii="Arial" w:eastAsia="Arial Unicode MS" w:hAnsi="Arial" w:cs="David"/>
      <w:snapToGrid w:val="0"/>
      <w:sz w:val="20"/>
      <w:szCs w:val="26"/>
    </w:rPr>
  </w:style>
  <w:style w:type="paragraph" w:customStyle="1" w:styleId="Hesber1st">
    <w:name w:val="Hesber 1st"/>
    <w:basedOn w:val="a"/>
    <w:rsid w:val="00DD77B8"/>
    <w:pPr>
      <w:widowControl w:val="0"/>
      <w:tabs>
        <w:tab w:val="left" w:pos="680"/>
        <w:tab w:val="left" w:pos="1020"/>
      </w:tabs>
      <w:snapToGrid w:val="0"/>
      <w:spacing w:after="0" w:line="360" w:lineRule="auto"/>
      <w:contextualSpacing/>
      <w:jc w:val="both"/>
    </w:pPr>
    <w:rPr>
      <w:rFonts w:ascii="Arial" w:eastAsia="Arial Unicode MS" w:hAnsi="Arial" w:cs="David"/>
      <w:snapToGrid w:val="0"/>
      <w:sz w:val="20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77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D77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E02F15CDF37874497CFB5CD304DD0F1" ma:contentTypeVersion="11" ma:contentTypeDescription="צור מסמך חדש." ma:contentTypeScope="" ma:versionID="33fbb86a133e6ef6d3b0bc93bd9dc95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084ae1ecacc38d25a7f55c91feeb1c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esSearchTitle" minOccurs="0"/>
                <xsd:element ref="ns2:TaxesSearc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TaxesSearchTitle" ma:index="10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1" nillable="true" ma:displayName="TaxesSearchDescription" ma:internalName="TaxesSearc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esSearchTitle xmlns="605e85f2-268e-450d-9afb-d305d42b267e">דברי הסבר למק"ח 1861</TaxesSearchTitle>
    <TaxesSearchDescription xmlns="605e85f2-268e-450d-9afb-d305d42b267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3D42-4C7E-4D55-AB1A-1742C6DCF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E2EF3-4651-4E47-B8CE-E99FDE781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0BD88-C657-48F9-B94F-07C1B51388BB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1A81AE-B995-487C-BEFE-BCE3A0C9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דברי הסבר למק"ח 1965</vt:lpstr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דברי הסבר למק"ח 1965</dc:title>
  <dc:creator>לינור מסרופי</dc:creator>
  <dc:description>שלב 3 - טיפול בטבלאות</dc:description>
  <cp:lastModifiedBy>Merav Kaplan - Chamber Of Commerce</cp:lastModifiedBy>
  <cp:revision>2</cp:revision>
  <cp:lastPrinted>2021-10-25T12:22:00Z</cp:lastPrinted>
  <dcterms:created xsi:type="dcterms:W3CDTF">2021-10-27T07:04:00Z</dcterms:created>
  <dcterms:modified xsi:type="dcterms:W3CDTF">2021-10-27T07:04:00Z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0x0101008E02F15CDF37874497CFB5CD304DD0F1</vt:lpwstr>
  </property>
</Properties>
</file>