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9621C2">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9621C2" w:rsidRPr="004136AD">
        <w:rPr>
          <w:rFonts w:ascii="David" w:eastAsia="Calibri" w:hAnsi="David" w:cs="David"/>
          <w:b/>
          <w:bCs/>
          <w:rtl/>
          <w:lang w:eastAsia="en-US"/>
        </w:rPr>
        <w:t>אבזרים לשימוש ילדים ולטיפול בהם - מנשאי תינוק</w:t>
      </w:r>
      <w:r w:rsidR="009E64D8">
        <w:rPr>
          <w:rFonts w:ascii="David" w:eastAsia="Calibri" w:hAnsi="David" w:cs="David" w:hint="cs"/>
          <w:rtl/>
          <w:lang w:eastAsia="zh-TW"/>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F76116">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F76116">
        <w:rPr>
          <w:rFonts w:ascii="David" w:eastAsia="Calibri" w:hAnsi="David" w:cs="David" w:hint="cs"/>
          <w:rtl/>
          <w:lang w:eastAsia="zh-TW"/>
        </w:rPr>
        <w:t>13209</w:t>
      </w:r>
      <w:r w:rsidRPr="00267702">
        <w:rPr>
          <w:rFonts w:ascii="David" w:eastAsia="Calibri" w:hAnsi="David" w:cs="David"/>
          <w:rtl/>
          <w:lang w:eastAsia="zh-TW"/>
        </w:rPr>
        <w:t xml:space="preserve"> –</w:t>
      </w:r>
      <w:r w:rsidR="00F76116">
        <w:rPr>
          <w:rFonts w:ascii="David" w:eastAsia="Calibri" w:hAnsi="David" w:cs="David" w:hint="cs"/>
          <w:rtl/>
          <w:lang w:eastAsia="zh-TW"/>
        </w:rPr>
        <w:t xml:space="preserve"> </w:t>
      </w:r>
      <w:r w:rsidRPr="00267702">
        <w:rPr>
          <w:rFonts w:ascii="David" w:eastAsia="Calibri" w:hAnsi="David" w:cs="David"/>
          <w:rtl/>
          <w:lang w:eastAsia="zh-TW"/>
        </w:rPr>
        <w:t>"</w:t>
      </w:r>
      <w:r w:rsidR="00F76116" w:rsidRPr="00F76116">
        <w:rPr>
          <w:rFonts w:cs="David"/>
          <w:rtl/>
        </w:rPr>
        <w:t>אבזרים לשימוש ילדים ולטיפול בהם - מנשאי תינוק</w:t>
      </w:r>
      <w:r w:rsidR="00F76116">
        <w:rPr>
          <w:rFonts w:cs="David" w:hint="cs"/>
          <w:rtl/>
        </w:rPr>
        <w:t xml:space="preserve">": חלק 1 - מנשאי גב בעלי מסגרת, חלק 2 </w:t>
      </w:r>
      <w:r w:rsidR="00F76116">
        <w:rPr>
          <w:rFonts w:cs="David"/>
          <w:rtl/>
        </w:rPr>
        <w:t>–</w:t>
      </w:r>
      <w:r w:rsidR="00F76116">
        <w:rPr>
          <w:rFonts w:cs="David" w:hint="cs"/>
          <w:rtl/>
        </w:rPr>
        <w:t xml:space="preserve"> מנשאים רכים, חלק 3 </w:t>
      </w:r>
      <w:r w:rsidR="00F76116">
        <w:rPr>
          <w:rFonts w:cs="David"/>
          <w:rtl/>
        </w:rPr>
        <w:t>–</w:t>
      </w:r>
      <w:r w:rsidR="00F76116">
        <w:rPr>
          <w:rFonts w:cs="David" w:hint="cs"/>
          <w:rtl/>
        </w:rPr>
        <w:t xml:space="preserve"> מנשאי כריכות</w:t>
      </w:r>
      <w:r w:rsidRPr="00267702">
        <w:rPr>
          <w:rFonts w:ascii="David" w:eastAsia="Calibri" w:hAnsi="David" w:cs="David"/>
          <w:rtl/>
          <w:lang w:eastAsia="zh-TW"/>
        </w:rPr>
        <w:t xml:space="preserve">, </w:t>
      </w:r>
      <w:r w:rsidR="00F76116">
        <w:rPr>
          <w:rFonts w:ascii="David" w:eastAsia="Calibri" w:hAnsi="David" w:cs="David" w:hint="cs"/>
          <w:rtl/>
          <w:lang w:eastAsia="zh-TW"/>
        </w:rPr>
        <w:t>מפברואר 2016</w:t>
      </w:r>
      <w:r>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1146BF">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1146BF">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w:t>
      </w:r>
      <w:r w:rsidR="001146BF">
        <w:rPr>
          <w:rFonts w:ascii="David" w:eastAsia="Calibri" w:hAnsi="David" w:cs="David" w:hint="cs"/>
          <w:color w:val="000000"/>
          <w:rtl/>
          <w:lang w:eastAsia="en-US"/>
        </w:rPr>
        <w:t xml:space="preserve"> </w:t>
      </w:r>
      <w:r w:rsidR="00220C1B">
        <w:rPr>
          <w:rFonts w:ascii="David" w:eastAsia="Calibri" w:hAnsi="David" w:cs="David" w:hint="cs"/>
          <w:color w:val="000000"/>
          <w:rtl/>
          <w:lang w:eastAsia="en-US"/>
        </w:rPr>
        <w:t xml:space="preserve">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925AD7" w:rsidRDefault="00925AD7" w:rsidP="009F36A5">
      <w:pPr>
        <w:spacing w:line="360" w:lineRule="atLeast"/>
        <w:ind w:left="885"/>
        <w:rPr>
          <w:rFonts w:ascii="David" w:eastAsia="Calibri" w:hAnsi="David" w:cs="David"/>
          <w:b/>
          <w:bCs/>
          <w:color w:val="000000"/>
          <w:rtl/>
          <w:lang w:eastAsia="en-US"/>
        </w:rPr>
      </w:pPr>
    </w:p>
    <w:p w:rsidR="009F36A5" w:rsidRPr="009F36A5" w:rsidRDefault="009F36A5"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lastRenderedPageBreak/>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BA0DCC" w:rsidRDefault="00A2058A" w:rsidP="004D25B1">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0B1DDD" w:rsidRPr="000B1DDD">
        <w:rPr>
          <w:rFonts w:ascii="David" w:eastAsia="Calibri" w:hAnsi="David" w:cs="David"/>
          <w:rtl/>
          <w:lang w:eastAsia="en-US"/>
        </w:rPr>
        <w:t>בתעודת הבדיקה של הדגם ירש</w:t>
      </w:r>
      <w:r w:rsidR="0059356E">
        <w:rPr>
          <w:rFonts w:ascii="David" w:eastAsia="Calibri" w:hAnsi="David" w:cs="David"/>
          <w:rtl/>
          <w:lang w:eastAsia="en-US"/>
        </w:rPr>
        <w:t>ם תיאור מלא וחד משמעי של המוצר</w:t>
      </w:r>
      <w:bookmarkStart w:id="18" w:name="_GoBack"/>
      <w:bookmarkEnd w:id="18"/>
      <w:r w:rsidR="0059356E" w:rsidRPr="0059356E">
        <w:rPr>
          <w:rFonts w:ascii="David" w:eastAsia="Calibri" w:hAnsi="David" w:cs="David"/>
          <w:rtl/>
          <w:lang w:eastAsia="en-US"/>
        </w:rPr>
        <w:t>, הכולל גם את כל פרטי הסימון הנדרשים לפי סעיף 10 של התקן ת"י 13209 חלקים 2 ו- 3 במסלול האירופי או סעיף 8 של התקן ת"י 13209 חלקים 1, 2 ו-3 במסלול האמריקאי, כולל רשימת הרכיבים העיקריים (יושלם במידת הצורך).</w:t>
      </w: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lastRenderedPageBreak/>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A2058A" w:rsidRDefault="00A2058A" w:rsidP="00C16872">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C16872">
        <w:rPr>
          <w:rFonts w:ascii="David" w:hAnsi="David" w:cs="David" w:hint="cs"/>
          <w:b/>
          <w:bCs/>
          <w:rtl/>
          <w:lang w:eastAsia="en-US"/>
        </w:rPr>
        <w:t>לשנה</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CA3765" w:rsidRPr="00CA3765" w:rsidRDefault="00CA3765"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A2058A" w:rsidRDefault="00C16872" w:rsidP="00E21C91">
      <w:pPr>
        <w:spacing w:line="360" w:lineRule="atLeast"/>
        <w:ind w:left="540"/>
        <w:rPr>
          <w:rFonts w:ascii="David" w:hAnsi="David" w:cs="David"/>
          <w:rtl/>
          <w:lang w:eastAsia="en-US"/>
        </w:rPr>
      </w:pPr>
      <w:r w:rsidRPr="002160AD">
        <w:rPr>
          <w:rFonts w:cs="David" w:hint="cs"/>
          <w:rtl/>
        </w:rPr>
        <w:t xml:space="preserve">בדיקת התאמה </w:t>
      </w:r>
      <w:r w:rsidR="00E21C91" w:rsidRPr="00E21C91">
        <w:rPr>
          <w:rFonts w:cs="David"/>
          <w:rtl/>
        </w:rPr>
        <w:t>לכל סעיפי ת"י 13209 חלקים 1, 2 ו-3</w:t>
      </w:r>
      <w:r w:rsidR="00E21C91">
        <w:rPr>
          <w:rFonts w:cs="David" w:hint="cs"/>
          <w:rtl/>
        </w:rPr>
        <w:t xml:space="preserve"> </w:t>
      </w:r>
      <w:r>
        <w:rPr>
          <w:rFonts w:cs="David" w:hint="cs"/>
          <w:rtl/>
        </w:rPr>
        <w:t xml:space="preserve">הישימים </w:t>
      </w:r>
      <w:r w:rsidRPr="002160AD">
        <w:rPr>
          <w:rFonts w:cs="David" w:hint="cs"/>
          <w:rtl/>
        </w:rPr>
        <w:t>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1" w:name="_Toc12263866"/>
      <w:bookmarkStart w:id="32" w:name="_Toc12263918"/>
      <w:bookmarkStart w:id="33"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lastRenderedPageBreak/>
        <w:t>בדיקה חלקית/בדיקת ש' - כל משלוח ובכפוף להנחיות והוראות הממונה .</w:t>
      </w:r>
    </w:p>
    <w:p w:rsidR="0040345F" w:rsidRPr="001A26CB" w:rsidRDefault="0040345F" w:rsidP="0040345F">
      <w:pPr>
        <w:spacing w:line="360" w:lineRule="atLeast"/>
        <w:ind w:left="1080"/>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40345F" w:rsidRPr="001A26CB" w:rsidRDefault="0040345F" w:rsidP="0040345F">
      <w:pPr>
        <w:spacing w:line="360" w:lineRule="auto"/>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9A48E9" w:rsidRDefault="00A2058A" w:rsidP="00C16872">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C16872">
        <w:rPr>
          <w:rFonts w:ascii="David" w:hAnsi="David" w:cs="David"/>
          <w:rtl/>
          <w:lang w:eastAsia="en-US"/>
        </w:rPr>
        <w:t xml:space="preserve">דוגמים אקראית </w:t>
      </w:r>
      <w:r w:rsidR="00C16872">
        <w:rPr>
          <w:rFonts w:ascii="David" w:hAnsi="David" w:cs="David" w:hint="cs"/>
          <w:rtl/>
          <w:lang w:eastAsia="en-US"/>
        </w:rPr>
        <w:t xml:space="preserve">דוגמא אחת </w:t>
      </w:r>
      <w:r w:rsidR="009A48E9" w:rsidRPr="0040345F">
        <w:rPr>
          <w:rFonts w:ascii="David" w:hAnsi="David" w:cs="David"/>
          <w:rtl/>
          <w:lang w:eastAsia="en-US"/>
        </w:rPr>
        <w:t>מכל מנת דגמים ו/או מנת משפחת דגמים. יש לדגום ככל שניתן, דגם שעדיין לא נבדק או שעבר הכי הרבה זמן מהבדיקה הקודמת.</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3D6F2A">
      <w:pPr>
        <w:numPr>
          <w:ilvl w:val="2"/>
          <w:numId w:val="9"/>
        </w:numPr>
        <w:spacing w:line="360" w:lineRule="atLeast"/>
        <w:rPr>
          <w:rFonts w:ascii="David" w:hAnsi="David" w:cs="David"/>
          <w:lang w:eastAsia="en-US"/>
        </w:rPr>
      </w:pPr>
      <w:r w:rsidRPr="001A26CB">
        <w:rPr>
          <w:rFonts w:ascii="David" w:hAnsi="David" w:cs="David"/>
          <w:b/>
          <w:bCs/>
          <w:rtl/>
          <w:lang w:eastAsia="en-US"/>
        </w:rPr>
        <w:lastRenderedPageBreak/>
        <w:t>בדיקת ש'</w:t>
      </w:r>
      <w:r w:rsidR="00CB75AF">
        <w:rPr>
          <w:rFonts w:ascii="David" w:hAnsi="David" w:cs="David" w:hint="cs"/>
          <w:b/>
          <w:bCs/>
          <w:rtl/>
          <w:lang w:eastAsia="en-US"/>
        </w:rPr>
        <w:t xml:space="preserve"> </w:t>
      </w:r>
      <w:r w:rsidRPr="001A26CB">
        <w:rPr>
          <w:rFonts w:ascii="David" w:hAnsi="David" w:cs="David"/>
          <w:b/>
          <w:bCs/>
          <w:rtl/>
          <w:lang w:eastAsia="en-US"/>
        </w:rPr>
        <w:t xml:space="preserve">- בדיקות חלקיות לפי סעיפי התקן: </w:t>
      </w:r>
      <w:r w:rsidRPr="001A26CB">
        <w:rPr>
          <w:rFonts w:ascii="David" w:hAnsi="David" w:cs="David"/>
          <w:rtl/>
          <w:lang w:eastAsia="en-US"/>
        </w:rPr>
        <w:t xml:space="preserve">המוצר שנדגם ייבדק להתאמה </w:t>
      </w:r>
      <w:r w:rsidR="00E21C91">
        <w:rPr>
          <w:rFonts w:ascii="David" w:hAnsi="David" w:cs="David"/>
          <w:rtl/>
          <w:lang w:eastAsia="en-US"/>
        </w:rPr>
        <w:t>לסעיפים ה</w:t>
      </w:r>
      <w:r w:rsidR="00E21C91">
        <w:rPr>
          <w:rFonts w:ascii="David" w:hAnsi="David" w:cs="David" w:hint="cs"/>
          <w:rtl/>
          <w:lang w:eastAsia="en-US"/>
        </w:rPr>
        <w:t>מפורטים בטבלה שלהלן :</w:t>
      </w:r>
    </w:p>
    <w:p w:rsidR="00E21C91" w:rsidRDefault="00E21C91" w:rsidP="00E21C91">
      <w:pPr>
        <w:spacing w:line="360" w:lineRule="atLeast"/>
        <w:ind w:left="1080"/>
        <w:rPr>
          <w:rFonts w:ascii="David" w:hAnsi="David" w:cs="David"/>
          <w:lang w:eastAsia="en-US"/>
        </w:rPr>
      </w:pPr>
    </w:p>
    <w:tbl>
      <w:tblPr>
        <w:tblStyle w:val="af"/>
        <w:bidiVisual/>
        <w:tblW w:w="8490" w:type="dxa"/>
        <w:tblInd w:w="198" w:type="dxa"/>
        <w:tblLook w:val="04A0" w:firstRow="1" w:lastRow="0" w:firstColumn="1" w:lastColumn="0" w:noHBand="0" w:noVBand="1"/>
      </w:tblPr>
      <w:tblGrid>
        <w:gridCol w:w="1402"/>
        <w:gridCol w:w="4233"/>
        <w:gridCol w:w="2855"/>
      </w:tblGrid>
      <w:tr w:rsidR="00E21C91" w:rsidRPr="00F41E98" w:rsidTr="00E21C91">
        <w:tc>
          <w:tcPr>
            <w:tcW w:w="1402" w:type="dxa"/>
            <w:shd w:val="clear" w:color="auto" w:fill="D9D9D9" w:themeFill="background1" w:themeFillShade="D9"/>
          </w:tcPr>
          <w:p w:rsidR="00E21C91" w:rsidRPr="00F41E98" w:rsidRDefault="00E21C91" w:rsidP="002F1F08">
            <w:pPr>
              <w:pStyle w:val="1"/>
              <w:numPr>
                <w:ilvl w:val="0"/>
                <w:numId w:val="0"/>
              </w:numPr>
              <w:tabs>
                <w:tab w:val="left" w:pos="1175"/>
              </w:tabs>
              <w:spacing w:line="276" w:lineRule="auto"/>
              <w:rPr>
                <w:rFonts w:asciiTheme="majorBidi" w:hAnsiTheme="majorBidi" w:cstheme="majorBidi"/>
                <w:sz w:val="22"/>
                <w:szCs w:val="22"/>
                <w:rtl/>
              </w:rPr>
            </w:pPr>
            <w:r w:rsidRPr="00F41E98">
              <w:rPr>
                <w:rFonts w:asciiTheme="majorBidi" w:hAnsiTheme="majorBidi" w:cstheme="majorBidi"/>
                <w:sz w:val="22"/>
                <w:szCs w:val="22"/>
                <w:rtl/>
              </w:rPr>
              <w:t>מוצר/סעיף</w:t>
            </w:r>
          </w:p>
        </w:tc>
        <w:tc>
          <w:tcPr>
            <w:tcW w:w="4233" w:type="dxa"/>
            <w:shd w:val="clear" w:color="auto" w:fill="D9D9D9" w:themeFill="background1" w:themeFillShade="D9"/>
          </w:tcPr>
          <w:p w:rsidR="00E21C91" w:rsidRPr="00F41E98" w:rsidRDefault="00E21C91" w:rsidP="002F1F08">
            <w:pPr>
              <w:pStyle w:val="1"/>
              <w:numPr>
                <w:ilvl w:val="0"/>
                <w:numId w:val="0"/>
              </w:numPr>
              <w:tabs>
                <w:tab w:val="left" w:pos="1175"/>
              </w:tabs>
              <w:spacing w:line="276" w:lineRule="auto"/>
              <w:rPr>
                <w:rFonts w:asciiTheme="majorBidi" w:hAnsiTheme="majorBidi" w:cstheme="majorBidi"/>
                <w:sz w:val="22"/>
                <w:szCs w:val="22"/>
                <w:rtl/>
              </w:rPr>
            </w:pPr>
            <w:r w:rsidRPr="00F41E98">
              <w:rPr>
                <w:rFonts w:asciiTheme="majorBidi" w:hAnsiTheme="majorBidi" w:cstheme="majorBidi"/>
                <w:sz w:val="22"/>
                <w:szCs w:val="22"/>
                <w:rtl/>
              </w:rPr>
              <w:t>מסלול אירופי</w:t>
            </w:r>
          </w:p>
        </w:tc>
        <w:tc>
          <w:tcPr>
            <w:tcW w:w="2855" w:type="dxa"/>
            <w:shd w:val="clear" w:color="auto" w:fill="D9D9D9" w:themeFill="background1" w:themeFillShade="D9"/>
          </w:tcPr>
          <w:p w:rsidR="00E21C91" w:rsidRPr="00F41E98" w:rsidRDefault="00E21C91" w:rsidP="002F1F08">
            <w:pPr>
              <w:pStyle w:val="1"/>
              <w:numPr>
                <w:ilvl w:val="0"/>
                <w:numId w:val="0"/>
              </w:numPr>
              <w:tabs>
                <w:tab w:val="left" w:pos="1175"/>
              </w:tabs>
              <w:spacing w:line="276" w:lineRule="auto"/>
              <w:rPr>
                <w:rFonts w:asciiTheme="majorBidi" w:hAnsiTheme="majorBidi" w:cstheme="majorBidi"/>
                <w:sz w:val="22"/>
                <w:szCs w:val="22"/>
                <w:rtl/>
              </w:rPr>
            </w:pPr>
            <w:r w:rsidRPr="00F41E98">
              <w:rPr>
                <w:rFonts w:asciiTheme="majorBidi" w:hAnsiTheme="majorBidi" w:cstheme="majorBidi"/>
                <w:sz w:val="22"/>
                <w:szCs w:val="22"/>
                <w:rtl/>
              </w:rPr>
              <w:t>מסלול אמריקאי</w:t>
            </w:r>
          </w:p>
        </w:tc>
      </w:tr>
      <w:tr w:rsidR="00E21C91" w:rsidRPr="00F41E98" w:rsidTr="00E21C91">
        <w:tc>
          <w:tcPr>
            <w:tcW w:w="1402" w:type="dxa"/>
          </w:tcPr>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 xml:space="preserve">מנשאי גב בעלי מסגרת </w:t>
            </w:r>
          </w:p>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(ת"י 13209 חלק 1)</w:t>
            </w:r>
          </w:p>
        </w:tc>
        <w:tc>
          <w:tcPr>
            <w:tcW w:w="4233"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6.1 – מרווחים ופתחים.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6.2 – קצוות.</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6.3 – חלקים קטנים.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6.4 - סרטים, רצועות, חגורות וחלקים המשמשים לקשירה.</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7 – אריזה.</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 – סימון.</w:t>
            </w:r>
          </w:p>
        </w:tc>
        <w:tc>
          <w:tcPr>
            <w:tcW w:w="2855"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5.1 - קצוות ופינות חדות מסוכנים.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5.2 – חלקים קטנים.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5.6 – פתחים.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5.1 – קיימות הסימון.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5.11 – רכיבים מגנים.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 – תווי וסימון.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9 – הוראות שימוש.</w:t>
            </w:r>
          </w:p>
        </w:tc>
      </w:tr>
      <w:tr w:rsidR="00E21C91" w:rsidRPr="00F41E98" w:rsidTr="00E21C91">
        <w:tc>
          <w:tcPr>
            <w:tcW w:w="1402" w:type="dxa"/>
          </w:tcPr>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 xml:space="preserve">מנשאים רכים </w:t>
            </w:r>
          </w:p>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(ת"י 13209 חלק 2)</w:t>
            </w:r>
          </w:p>
        </w:tc>
        <w:tc>
          <w:tcPr>
            <w:tcW w:w="4233"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8.1 – סכנות חנק ובליעה.</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8.2 – סכנות הסתבכות.</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9 – סכנות חנק מחומרי אריזה.</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10 – מידע על המוצר.</w:t>
            </w:r>
          </w:p>
        </w:tc>
        <w:tc>
          <w:tcPr>
            <w:tcW w:w="2855"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5.1 - קצוות ופינות חדות מסוכנים.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5.2 – חלקים קטנים.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5.6 – קיימות הסימון.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 – תווי וסימון.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9 – הוראות שימוש.</w:t>
            </w:r>
          </w:p>
        </w:tc>
      </w:tr>
      <w:tr w:rsidR="00E21C91" w:rsidRPr="00F41E98" w:rsidTr="00E21C91">
        <w:tc>
          <w:tcPr>
            <w:tcW w:w="1402" w:type="dxa"/>
          </w:tcPr>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 xml:space="preserve">מנשאי כריכות </w:t>
            </w:r>
          </w:p>
          <w:p w:rsidR="00E21C91" w:rsidRPr="00E21C91" w:rsidRDefault="00E21C91" w:rsidP="002F1F08">
            <w:pPr>
              <w:pStyle w:val="1"/>
              <w:numPr>
                <w:ilvl w:val="0"/>
                <w:numId w:val="0"/>
              </w:numPr>
              <w:tabs>
                <w:tab w:val="left" w:pos="1175"/>
              </w:tabs>
              <w:spacing w:line="276" w:lineRule="auto"/>
              <w:rPr>
                <w:rFonts w:ascii="David" w:hAnsi="David"/>
                <w:sz w:val="24"/>
                <w:rtl/>
              </w:rPr>
            </w:pPr>
            <w:r w:rsidRPr="00E21C91">
              <w:rPr>
                <w:rFonts w:ascii="David" w:hAnsi="David"/>
                <w:sz w:val="24"/>
                <w:rtl/>
              </w:rPr>
              <w:t>(ת"י 13209 חלק 3)</w:t>
            </w:r>
          </w:p>
        </w:tc>
        <w:tc>
          <w:tcPr>
            <w:tcW w:w="4233"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 – סכנות חנק ובליעה.</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6 -סכנות הילכדות של האצבעות ברשת.</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7 – סכנות הסתבכות.</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 – סכנות שנק.</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10 – מידע על המוצר.</w:t>
            </w:r>
          </w:p>
        </w:tc>
        <w:tc>
          <w:tcPr>
            <w:tcW w:w="2855" w:type="dxa"/>
          </w:tcPr>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5.2 - קצוות ופינות חדות מסוכנים.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5.3 – חלקים קטנים.</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5.7 – קיימות הסימון.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8 – תווי וסימון.</w:t>
            </w:r>
          </w:p>
          <w:p w:rsidR="00E21C91" w:rsidRPr="00E21C91" w:rsidRDefault="00E21C91" w:rsidP="002F1F08">
            <w:pPr>
              <w:pStyle w:val="1"/>
              <w:numPr>
                <w:ilvl w:val="0"/>
                <w:numId w:val="0"/>
              </w:numPr>
              <w:tabs>
                <w:tab w:val="left" w:pos="1175"/>
              </w:tabs>
              <w:spacing w:line="276" w:lineRule="auto"/>
              <w:rPr>
                <w:rFonts w:ascii="David" w:hAnsi="David"/>
                <w:szCs w:val="20"/>
                <w:rtl/>
              </w:rPr>
            </w:pPr>
            <w:r w:rsidRPr="00E21C91">
              <w:rPr>
                <w:rFonts w:ascii="David" w:hAnsi="David"/>
                <w:szCs w:val="20"/>
                <w:rtl/>
              </w:rPr>
              <w:t>9 – הוראות שימוש.</w:t>
            </w:r>
          </w:p>
        </w:tc>
      </w:tr>
    </w:tbl>
    <w:p w:rsidR="00E21C91" w:rsidRPr="00E21C91" w:rsidRDefault="00E21C91" w:rsidP="00E21C91">
      <w:pPr>
        <w:spacing w:line="360" w:lineRule="atLeast"/>
        <w:rPr>
          <w:rFonts w:ascii="David" w:hAnsi="David" w:cs="David"/>
          <w:rtl/>
          <w:lang w:eastAsia="en-US"/>
        </w:rPr>
      </w:pPr>
    </w:p>
    <w:p w:rsidR="003D6F2A" w:rsidRPr="00103EF1" w:rsidRDefault="003D6F2A" w:rsidP="00E21C91">
      <w:pPr>
        <w:pStyle w:val="1"/>
        <w:numPr>
          <w:ilvl w:val="0"/>
          <w:numId w:val="0"/>
        </w:numPr>
        <w:tabs>
          <w:tab w:val="left" w:pos="1175"/>
        </w:tabs>
        <w:spacing w:line="360" w:lineRule="auto"/>
        <w:ind w:left="1440"/>
        <w:rPr>
          <w:sz w:val="24"/>
          <w:rtl/>
        </w:rPr>
      </w:pPr>
    </w:p>
    <w:p w:rsidR="009A48E9" w:rsidRDefault="009A48E9" w:rsidP="009A48E9">
      <w:pPr>
        <w:pStyle w:val="1"/>
        <w:numPr>
          <w:ilvl w:val="0"/>
          <w:numId w:val="0"/>
        </w:numPr>
        <w:tabs>
          <w:tab w:val="left" w:pos="1175"/>
        </w:tabs>
        <w:ind w:left="1440"/>
        <w:rPr>
          <w:sz w:val="24"/>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t xml:space="preserve"> </w:t>
      </w: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87458F" w:rsidRDefault="0087458F" w:rsidP="0087458F">
      <w:pPr>
        <w:pStyle w:val="ae"/>
        <w:rPr>
          <w:rFonts w:ascii="David" w:hAnsi="David" w:cs="David"/>
          <w:rtl/>
          <w:lang w:eastAsia="en-US"/>
        </w:rPr>
      </w:pPr>
    </w:p>
    <w:p w:rsidR="00CB75AF" w:rsidRDefault="00CB75AF" w:rsidP="0087458F">
      <w:pPr>
        <w:pStyle w:val="ae"/>
        <w:rPr>
          <w:rFonts w:ascii="David" w:hAnsi="David" w:cs="David"/>
          <w:rtl/>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lastRenderedPageBreak/>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87458F" w:rsidRPr="00925AD7" w:rsidRDefault="0087458F" w:rsidP="0087458F">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4D25B1" w:rsidRPr="004D25B1">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4136AD">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4136AD">
            <w:rPr>
              <w:rFonts w:ascii="David" w:eastAsia="Calibri" w:hAnsi="David" w:cs="David"/>
              <w:b/>
              <w:bCs/>
              <w:lang w:eastAsia="en-US"/>
            </w:rPr>
            <w:t>13209</w:t>
          </w:r>
          <w:r w:rsidR="004136AD">
            <w:rPr>
              <w:rFonts w:ascii="David" w:eastAsia="Calibri" w:hAnsi="David" w:cs="David"/>
              <w:b/>
              <w:bCs/>
              <w:rtl/>
              <w:lang w:eastAsia="en-US"/>
            </w:rPr>
            <w:t xml:space="preserve"> – חלק</w:t>
          </w:r>
          <w:r w:rsidR="004136AD">
            <w:rPr>
              <w:rFonts w:ascii="David" w:eastAsia="Calibri" w:hAnsi="David" w:cs="David" w:hint="cs"/>
              <w:b/>
              <w:bCs/>
              <w:rtl/>
              <w:lang w:eastAsia="en-US"/>
            </w:rPr>
            <w:t>ים 1-3</w:t>
          </w:r>
        </w:p>
        <w:p w:rsidR="00A2058A" w:rsidRPr="001A26CB" w:rsidRDefault="00267702" w:rsidP="004136AD">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4136AD">
            <w:rPr>
              <w:rtl/>
            </w:rPr>
            <w:t xml:space="preserve"> </w:t>
          </w:r>
          <w:r w:rsidR="004136AD" w:rsidRPr="004136AD">
            <w:rPr>
              <w:rFonts w:ascii="David" w:eastAsia="Calibri" w:hAnsi="David" w:cs="David"/>
              <w:b/>
              <w:bCs/>
              <w:rtl/>
              <w:lang w:eastAsia="en-US"/>
            </w:rPr>
            <w:t>אבזרים לשימוש ילדים ולטיפול בהם - מנשאי תינוק - דרישות בטיחות ושיטות בדיקה</w:t>
          </w:r>
          <w:r w:rsidRPr="00267702">
            <w:rPr>
              <w:rFonts w:ascii="David" w:eastAsia="Calibri" w:hAnsi="David" w:cs="David"/>
              <w:b/>
              <w:bCs/>
              <w:rtl/>
              <w:lang w:eastAsia="en-US"/>
            </w:rPr>
            <w:t xml:space="preserve">", </w:t>
          </w:r>
          <w:r w:rsidR="004136AD">
            <w:rPr>
              <w:rFonts w:ascii="David" w:eastAsia="Calibri" w:hAnsi="David" w:cs="David" w:hint="cs"/>
              <w:b/>
              <w:bCs/>
              <w:rtl/>
              <w:lang w:eastAsia="en-US"/>
            </w:rPr>
            <w:t>מפברואר</w:t>
          </w:r>
          <w:r w:rsidRPr="00267702">
            <w:rPr>
              <w:rFonts w:ascii="David" w:eastAsia="Calibri" w:hAnsi="David" w:cs="David"/>
              <w:b/>
              <w:bCs/>
              <w:rtl/>
              <w:lang w:eastAsia="en-US"/>
            </w:rPr>
            <w:t xml:space="preserve"> 201</w:t>
          </w:r>
          <w:r w:rsidR="004136AD">
            <w:rPr>
              <w:rFonts w:ascii="David" w:eastAsia="Calibri" w:hAnsi="David" w:cs="David" w:hint="cs"/>
              <w:b/>
              <w:bCs/>
              <w:rtl/>
              <w:lang w:eastAsia="en-US"/>
            </w:rPr>
            <w:t>6</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8AD"/>
    <w:multiLevelType w:val="hybridMultilevel"/>
    <w:tmpl w:val="B34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9"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1"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8"/>
  </w:num>
  <w:num w:numId="3">
    <w:abstractNumId w:val="11"/>
  </w:num>
  <w:num w:numId="4">
    <w:abstractNumId w:val="12"/>
  </w:num>
  <w:num w:numId="5">
    <w:abstractNumId w:val="6"/>
  </w:num>
  <w:num w:numId="6">
    <w:abstractNumId w:val="10"/>
  </w:num>
  <w:num w:numId="7">
    <w:abstractNumId w:val="9"/>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5"/>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3118F"/>
    <w:rsid w:val="00043578"/>
    <w:rsid w:val="0006527D"/>
    <w:rsid w:val="000763B6"/>
    <w:rsid w:val="0008035F"/>
    <w:rsid w:val="0008114A"/>
    <w:rsid w:val="00090E87"/>
    <w:rsid w:val="000959E6"/>
    <w:rsid w:val="00097F4B"/>
    <w:rsid w:val="000A718A"/>
    <w:rsid w:val="000B1DDD"/>
    <w:rsid w:val="000B32CF"/>
    <w:rsid w:val="000B5570"/>
    <w:rsid w:val="000C1A26"/>
    <w:rsid w:val="000D3802"/>
    <w:rsid w:val="000D765F"/>
    <w:rsid w:val="000E0063"/>
    <w:rsid w:val="000E082A"/>
    <w:rsid w:val="000E3A36"/>
    <w:rsid w:val="000F6C42"/>
    <w:rsid w:val="00102674"/>
    <w:rsid w:val="001075D7"/>
    <w:rsid w:val="001146BF"/>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B62B0"/>
    <w:rsid w:val="003C0A0A"/>
    <w:rsid w:val="003D6F2A"/>
    <w:rsid w:val="0040140C"/>
    <w:rsid w:val="0040345F"/>
    <w:rsid w:val="00404B91"/>
    <w:rsid w:val="004136AD"/>
    <w:rsid w:val="00416D77"/>
    <w:rsid w:val="0042237A"/>
    <w:rsid w:val="00426B97"/>
    <w:rsid w:val="00433B18"/>
    <w:rsid w:val="00434E39"/>
    <w:rsid w:val="004534B0"/>
    <w:rsid w:val="004647B3"/>
    <w:rsid w:val="00473F77"/>
    <w:rsid w:val="00476ABA"/>
    <w:rsid w:val="00487442"/>
    <w:rsid w:val="004A2C2F"/>
    <w:rsid w:val="004B67C8"/>
    <w:rsid w:val="004C5F91"/>
    <w:rsid w:val="004D25B1"/>
    <w:rsid w:val="004E3EEC"/>
    <w:rsid w:val="004F171B"/>
    <w:rsid w:val="004F436C"/>
    <w:rsid w:val="0050391E"/>
    <w:rsid w:val="00503AE8"/>
    <w:rsid w:val="0051043B"/>
    <w:rsid w:val="00512646"/>
    <w:rsid w:val="00516E9C"/>
    <w:rsid w:val="0052719B"/>
    <w:rsid w:val="005274CA"/>
    <w:rsid w:val="00527894"/>
    <w:rsid w:val="0059356E"/>
    <w:rsid w:val="005A063B"/>
    <w:rsid w:val="005C361F"/>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7458F"/>
    <w:rsid w:val="008813B5"/>
    <w:rsid w:val="008928F0"/>
    <w:rsid w:val="00895AEE"/>
    <w:rsid w:val="008A656C"/>
    <w:rsid w:val="008A6B5B"/>
    <w:rsid w:val="008B007F"/>
    <w:rsid w:val="008B2FB1"/>
    <w:rsid w:val="008B70AD"/>
    <w:rsid w:val="008E4B4F"/>
    <w:rsid w:val="008F431E"/>
    <w:rsid w:val="00901505"/>
    <w:rsid w:val="00901F71"/>
    <w:rsid w:val="009157CE"/>
    <w:rsid w:val="00916E04"/>
    <w:rsid w:val="00925AD7"/>
    <w:rsid w:val="0094243E"/>
    <w:rsid w:val="009518D1"/>
    <w:rsid w:val="0095626A"/>
    <w:rsid w:val="009621C2"/>
    <w:rsid w:val="00967CBF"/>
    <w:rsid w:val="0097041B"/>
    <w:rsid w:val="00971C70"/>
    <w:rsid w:val="0099196D"/>
    <w:rsid w:val="00997EB9"/>
    <w:rsid w:val="009A48E9"/>
    <w:rsid w:val="009E64D8"/>
    <w:rsid w:val="009F36A5"/>
    <w:rsid w:val="00A1096C"/>
    <w:rsid w:val="00A2058A"/>
    <w:rsid w:val="00A23493"/>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0DCC"/>
    <w:rsid w:val="00BA2EF0"/>
    <w:rsid w:val="00BD0B38"/>
    <w:rsid w:val="00BE0B99"/>
    <w:rsid w:val="00BF1CF2"/>
    <w:rsid w:val="00C15A47"/>
    <w:rsid w:val="00C16872"/>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A3765"/>
    <w:rsid w:val="00CB0AAA"/>
    <w:rsid w:val="00CB75AF"/>
    <w:rsid w:val="00CC2B44"/>
    <w:rsid w:val="00CC4C6D"/>
    <w:rsid w:val="00CE3090"/>
    <w:rsid w:val="00CE5804"/>
    <w:rsid w:val="00D039F7"/>
    <w:rsid w:val="00D258CD"/>
    <w:rsid w:val="00D277A3"/>
    <w:rsid w:val="00D71348"/>
    <w:rsid w:val="00D82A3B"/>
    <w:rsid w:val="00DA5ADA"/>
    <w:rsid w:val="00DB362A"/>
    <w:rsid w:val="00DC0140"/>
    <w:rsid w:val="00DD0D67"/>
    <w:rsid w:val="00DD2D93"/>
    <w:rsid w:val="00E21C91"/>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76116"/>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D1ACB2"/>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uiPriority w:val="59"/>
    <w:rsid w:val="00E21C91"/>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322A-034D-440B-AB8B-1846A2C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1099</Words>
  <Characters>5306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6393</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9</cp:revision>
  <cp:lastPrinted>2019-06-24T06:47:00Z</cp:lastPrinted>
  <dcterms:created xsi:type="dcterms:W3CDTF">2020-01-27T10:37:00Z</dcterms:created>
  <dcterms:modified xsi:type="dcterms:W3CDTF">2020-05-06T07:58:00Z</dcterms:modified>
  <dc:language>עברית</dc:language>
</cp:coreProperties>
</file>