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65D4C" w14:textId="77777777" w:rsidR="003B436F" w:rsidRDefault="003B436F" w:rsidP="005F0271">
      <w:pPr>
        <w:jc w:val="center"/>
        <w:rPr>
          <w:b/>
          <w:bCs/>
          <w:sz w:val="26"/>
          <w:szCs w:val="26"/>
          <w:rtl/>
        </w:rPr>
      </w:pPr>
      <w:bookmarkStart w:id="0" w:name="_GoBack"/>
      <w:bookmarkEnd w:id="0"/>
      <w:r>
        <w:rPr>
          <w:noProof/>
        </w:rPr>
        <w:drawing>
          <wp:inline distT="0" distB="0" distL="0" distR="0" wp14:anchorId="10A42B5B" wp14:editId="051FEE0C">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38163163" w14:textId="77777777" w:rsidR="003B436F" w:rsidRDefault="003B436F" w:rsidP="005F0271">
      <w:pPr>
        <w:rPr>
          <w:b/>
          <w:bCs/>
          <w:sz w:val="26"/>
          <w:szCs w:val="26"/>
          <w:rtl/>
        </w:rPr>
      </w:pPr>
      <w:r w:rsidRPr="00CB5068">
        <w:rPr>
          <w:b/>
          <w:bCs/>
          <w:sz w:val="26"/>
          <w:szCs w:val="26"/>
          <w:rtl/>
        </w:rPr>
        <w:t>תוכן עניינים</w:t>
      </w:r>
    </w:p>
    <w:p w14:paraId="0BEE5362" w14:textId="77777777" w:rsidR="00B12397" w:rsidRDefault="00B12397" w:rsidP="00B12397">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20307912" w:history="1">
        <w:r w:rsidRPr="009703F9">
          <w:rPr>
            <w:rStyle w:val="Hyperlink"/>
            <w:rFonts w:hint="eastAsia"/>
            <w:noProof/>
            <w:rtl/>
          </w:rPr>
          <w:t>טיוטת</w:t>
        </w:r>
        <w:r w:rsidRPr="009703F9">
          <w:rPr>
            <w:rStyle w:val="Hyperlink"/>
            <w:noProof/>
            <w:rtl/>
          </w:rPr>
          <w:t xml:space="preserve"> </w:t>
        </w:r>
        <w:r w:rsidRPr="009703F9">
          <w:rPr>
            <w:rStyle w:val="Hyperlink"/>
            <w:rFonts w:hint="eastAsia"/>
            <w:noProof/>
            <w:rtl/>
          </w:rPr>
          <w:t>תקנות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Toc20307912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51019F82" w14:textId="77777777" w:rsidR="00B12397" w:rsidRDefault="00F85AA4" w:rsidP="00B12397">
      <w:pPr>
        <w:pStyle w:val="TOC4"/>
        <w:rPr>
          <w:rFonts w:cstheme="minorBidi"/>
          <w:rtl/>
        </w:rPr>
      </w:pPr>
      <w:hyperlink w:anchor="_Toc20307913" w:history="1">
        <w:r w:rsidR="00B12397" w:rsidRPr="009703F9">
          <w:rPr>
            <w:rStyle w:val="Hyperlink"/>
            <w:rFonts w:hint="eastAsia"/>
            <w:rtl/>
          </w:rPr>
          <w:t>א</w:t>
        </w:r>
        <w:r w:rsidR="00B12397" w:rsidRPr="009703F9">
          <w:rPr>
            <w:rStyle w:val="Hyperlink"/>
            <w:rtl/>
          </w:rPr>
          <w:t xml:space="preserve">. </w:t>
        </w:r>
        <w:r w:rsidR="00B12397" w:rsidRPr="009703F9">
          <w:rPr>
            <w:rStyle w:val="Hyperlink"/>
            <w:rFonts w:hint="eastAsia"/>
            <w:rtl/>
          </w:rPr>
          <w:t>שם</w:t>
        </w:r>
        <w:r w:rsidR="00B12397" w:rsidRPr="009703F9">
          <w:rPr>
            <w:rStyle w:val="Hyperlink"/>
            <w:rtl/>
          </w:rPr>
          <w:t xml:space="preserve"> </w:t>
        </w:r>
        <w:r w:rsidR="00B12397" w:rsidRPr="009703F9">
          <w:rPr>
            <w:rStyle w:val="Hyperlink"/>
            <w:rFonts w:hint="eastAsia"/>
            <w:rtl/>
          </w:rPr>
          <w:t>התקנות</w:t>
        </w:r>
        <w:r w:rsidR="00B12397" w:rsidRPr="009703F9">
          <w:rPr>
            <w:rStyle w:val="Hyperlink"/>
            <w:rtl/>
          </w:rPr>
          <w:t xml:space="preserve"> </w:t>
        </w:r>
        <w:r w:rsidR="00B12397" w:rsidRPr="009703F9">
          <w:rPr>
            <w:rStyle w:val="Hyperlink"/>
            <w:rFonts w:hint="eastAsia"/>
            <w:rtl/>
          </w:rPr>
          <w:t>המוצעות</w:t>
        </w:r>
        <w:r w:rsidR="00B12397">
          <w:rPr>
            <w:webHidden/>
            <w:rtl/>
          </w:rPr>
          <w:tab/>
        </w:r>
        <w:r w:rsidR="00B12397">
          <w:rPr>
            <w:rStyle w:val="Hyperlink"/>
            <w:rtl/>
          </w:rPr>
          <w:fldChar w:fldCharType="begin"/>
        </w:r>
        <w:r w:rsidR="00B12397">
          <w:rPr>
            <w:webHidden/>
            <w:rtl/>
          </w:rPr>
          <w:instrText xml:space="preserve"> </w:instrText>
        </w:r>
        <w:r w:rsidR="00B12397">
          <w:rPr>
            <w:webHidden/>
          </w:rPr>
          <w:instrText>PAGEREF</w:instrText>
        </w:r>
        <w:r w:rsidR="00B12397">
          <w:rPr>
            <w:webHidden/>
            <w:rtl/>
          </w:rPr>
          <w:instrText xml:space="preserve"> _</w:instrText>
        </w:r>
        <w:r w:rsidR="00B12397">
          <w:rPr>
            <w:webHidden/>
          </w:rPr>
          <w:instrText>Toc20307913 \h</w:instrText>
        </w:r>
        <w:r w:rsidR="00B12397">
          <w:rPr>
            <w:webHidden/>
            <w:rtl/>
          </w:rPr>
          <w:instrText xml:space="preserve"> </w:instrText>
        </w:r>
        <w:r w:rsidR="00B12397">
          <w:rPr>
            <w:rStyle w:val="Hyperlink"/>
            <w:rtl/>
          </w:rPr>
        </w:r>
        <w:r w:rsidR="00B12397">
          <w:rPr>
            <w:rStyle w:val="Hyperlink"/>
            <w:rtl/>
          </w:rPr>
          <w:fldChar w:fldCharType="separate"/>
        </w:r>
        <w:r w:rsidR="00B12397">
          <w:rPr>
            <w:webHidden/>
            <w:rtl/>
          </w:rPr>
          <w:t>2</w:t>
        </w:r>
        <w:r w:rsidR="00B12397">
          <w:rPr>
            <w:rStyle w:val="Hyperlink"/>
            <w:rtl/>
          </w:rPr>
          <w:fldChar w:fldCharType="end"/>
        </w:r>
      </w:hyperlink>
    </w:p>
    <w:p w14:paraId="46510DF3" w14:textId="77777777" w:rsidR="00B12397" w:rsidRDefault="00F85AA4" w:rsidP="00B12397">
      <w:pPr>
        <w:pStyle w:val="TOC4"/>
        <w:rPr>
          <w:rFonts w:cstheme="minorBidi"/>
          <w:rtl/>
        </w:rPr>
      </w:pPr>
      <w:hyperlink w:anchor="_Toc20307914" w:history="1">
        <w:r w:rsidR="00B12397" w:rsidRPr="009703F9">
          <w:rPr>
            <w:rStyle w:val="Hyperlink"/>
            <w:rFonts w:hint="eastAsia"/>
            <w:rtl/>
          </w:rPr>
          <w:t>ב</w:t>
        </w:r>
        <w:r w:rsidR="00B12397" w:rsidRPr="009703F9">
          <w:rPr>
            <w:rStyle w:val="Hyperlink"/>
            <w:rtl/>
          </w:rPr>
          <w:t xml:space="preserve">. </w:t>
        </w:r>
        <w:r w:rsidR="00B12397" w:rsidRPr="009703F9">
          <w:rPr>
            <w:rStyle w:val="Hyperlink"/>
            <w:rFonts w:hint="eastAsia"/>
            <w:rtl/>
          </w:rPr>
          <w:t>מטרת</w:t>
        </w:r>
        <w:r w:rsidR="00B12397" w:rsidRPr="009703F9">
          <w:rPr>
            <w:rStyle w:val="Hyperlink"/>
            <w:rtl/>
          </w:rPr>
          <w:t xml:space="preserve"> </w:t>
        </w:r>
        <w:r w:rsidR="00B12397" w:rsidRPr="009703F9">
          <w:rPr>
            <w:rStyle w:val="Hyperlink"/>
            <w:rFonts w:hint="eastAsia"/>
            <w:rtl/>
          </w:rPr>
          <w:t>התקנות</w:t>
        </w:r>
        <w:r w:rsidR="00B12397" w:rsidRPr="009703F9">
          <w:rPr>
            <w:rStyle w:val="Hyperlink"/>
            <w:rtl/>
          </w:rPr>
          <w:t xml:space="preserve"> </w:t>
        </w:r>
        <w:r w:rsidR="00B12397" w:rsidRPr="009703F9">
          <w:rPr>
            <w:rStyle w:val="Hyperlink"/>
            <w:rFonts w:hint="eastAsia"/>
            <w:rtl/>
          </w:rPr>
          <w:t>המוצעות</w:t>
        </w:r>
        <w:r w:rsidR="00B12397" w:rsidRPr="009703F9">
          <w:rPr>
            <w:rStyle w:val="Hyperlink"/>
            <w:rtl/>
          </w:rPr>
          <w:t xml:space="preserve"> </w:t>
        </w:r>
        <w:r w:rsidR="00B12397" w:rsidRPr="009703F9">
          <w:rPr>
            <w:rStyle w:val="Hyperlink"/>
            <w:rFonts w:hint="eastAsia"/>
            <w:rtl/>
          </w:rPr>
          <w:t>והצורך</w:t>
        </w:r>
        <w:r w:rsidR="00B12397" w:rsidRPr="009703F9">
          <w:rPr>
            <w:rStyle w:val="Hyperlink"/>
            <w:rtl/>
          </w:rPr>
          <w:t xml:space="preserve"> </w:t>
        </w:r>
        <w:r w:rsidR="00B12397" w:rsidRPr="009703F9">
          <w:rPr>
            <w:rStyle w:val="Hyperlink"/>
            <w:rFonts w:hint="eastAsia"/>
            <w:rtl/>
          </w:rPr>
          <w:t>בהן</w:t>
        </w:r>
        <w:r w:rsidR="00B12397">
          <w:rPr>
            <w:webHidden/>
            <w:rtl/>
          </w:rPr>
          <w:tab/>
        </w:r>
        <w:r w:rsidR="00B12397">
          <w:rPr>
            <w:rStyle w:val="Hyperlink"/>
            <w:rtl/>
          </w:rPr>
          <w:fldChar w:fldCharType="begin"/>
        </w:r>
        <w:r w:rsidR="00B12397">
          <w:rPr>
            <w:webHidden/>
            <w:rtl/>
          </w:rPr>
          <w:instrText xml:space="preserve"> </w:instrText>
        </w:r>
        <w:r w:rsidR="00B12397">
          <w:rPr>
            <w:webHidden/>
          </w:rPr>
          <w:instrText>PAGEREF</w:instrText>
        </w:r>
        <w:r w:rsidR="00B12397">
          <w:rPr>
            <w:webHidden/>
            <w:rtl/>
          </w:rPr>
          <w:instrText xml:space="preserve"> _</w:instrText>
        </w:r>
        <w:r w:rsidR="00B12397">
          <w:rPr>
            <w:webHidden/>
          </w:rPr>
          <w:instrText>Toc20307914 \h</w:instrText>
        </w:r>
        <w:r w:rsidR="00B12397">
          <w:rPr>
            <w:webHidden/>
            <w:rtl/>
          </w:rPr>
          <w:instrText xml:space="preserve"> </w:instrText>
        </w:r>
        <w:r w:rsidR="00B12397">
          <w:rPr>
            <w:rStyle w:val="Hyperlink"/>
            <w:rtl/>
          </w:rPr>
        </w:r>
        <w:r w:rsidR="00B12397">
          <w:rPr>
            <w:rStyle w:val="Hyperlink"/>
            <w:rtl/>
          </w:rPr>
          <w:fldChar w:fldCharType="separate"/>
        </w:r>
        <w:r w:rsidR="00B12397">
          <w:rPr>
            <w:webHidden/>
            <w:rtl/>
          </w:rPr>
          <w:t>2</w:t>
        </w:r>
        <w:r w:rsidR="00B12397">
          <w:rPr>
            <w:rStyle w:val="Hyperlink"/>
            <w:rtl/>
          </w:rPr>
          <w:fldChar w:fldCharType="end"/>
        </w:r>
      </w:hyperlink>
    </w:p>
    <w:p w14:paraId="2E91074F" w14:textId="77777777" w:rsidR="00B12397" w:rsidRDefault="00F85AA4" w:rsidP="00B12397">
      <w:pPr>
        <w:pStyle w:val="TOC4"/>
        <w:rPr>
          <w:rFonts w:cstheme="minorBidi"/>
          <w:rtl/>
        </w:rPr>
      </w:pPr>
      <w:hyperlink w:anchor="_Toc20307915" w:history="1">
        <w:r w:rsidR="00B12397" w:rsidRPr="009703F9">
          <w:rPr>
            <w:rStyle w:val="Hyperlink"/>
            <w:rFonts w:hint="eastAsia"/>
            <w:rtl/>
          </w:rPr>
          <w:t>ג</w:t>
        </w:r>
        <w:r w:rsidR="00B12397" w:rsidRPr="009703F9">
          <w:rPr>
            <w:rStyle w:val="Hyperlink"/>
            <w:rtl/>
          </w:rPr>
          <w:t xml:space="preserve">. </w:t>
        </w:r>
        <w:r w:rsidR="00B12397" w:rsidRPr="009703F9">
          <w:rPr>
            <w:rStyle w:val="Hyperlink"/>
            <w:rFonts w:hint="eastAsia"/>
            <w:rtl/>
          </w:rPr>
          <w:t>נוסח</w:t>
        </w:r>
        <w:r w:rsidR="00B12397" w:rsidRPr="009703F9">
          <w:rPr>
            <w:rStyle w:val="Hyperlink"/>
            <w:rtl/>
          </w:rPr>
          <w:t xml:space="preserve"> </w:t>
        </w:r>
        <w:r w:rsidR="00B12397" w:rsidRPr="009703F9">
          <w:rPr>
            <w:rStyle w:val="Hyperlink"/>
            <w:rFonts w:hint="eastAsia"/>
            <w:rtl/>
          </w:rPr>
          <w:t>טיוטת</w:t>
        </w:r>
        <w:r w:rsidR="00B12397" w:rsidRPr="009703F9">
          <w:rPr>
            <w:rStyle w:val="Hyperlink"/>
            <w:rtl/>
          </w:rPr>
          <w:t xml:space="preserve"> </w:t>
        </w:r>
        <w:r w:rsidR="00B12397" w:rsidRPr="009703F9">
          <w:rPr>
            <w:rStyle w:val="Hyperlink"/>
            <w:rFonts w:hint="eastAsia"/>
            <w:rtl/>
          </w:rPr>
          <w:t>התקנות</w:t>
        </w:r>
        <w:r w:rsidR="00B12397" w:rsidRPr="009703F9">
          <w:rPr>
            <w:rStyle w:val="Hyperlink"/>
            <w:rtl/>
          </w:rPr>
          <w:t xml:space="preserve"> </w:t>
        </w:r>
        <w:r w:rsidR="00B12397" w:rsidRPr="009703F9">
          <w:rPr>
            <w:rStyle w:val="Hyperlink"/>
            <w:rFonts w:hint="eastAsia"/>
            <w:rtl/>
          </w:rPr>
          <w:t>המוצעות</w:t>
        </w:r>
        <w:r w:rsidR="00B12397" w:rsidRPr="009703F9">
          <w:rPr>
            <w:rStyle w:val="Hyperlink"/>
            <w:rtl/>
          </w:rPr>
          <w:t>:</w:t>
        </w:r>
        <w:r w:rsidR="00B12397">
          <w:rPr>
            <w:webHidden/>
            <w:rtl/>
          </w:rPr>
          <w:tab/>
        </w:r>
        <w:r w:rsidR="00B12397">
          <w:rPr>
            <w:rStyle w:val="Hyperlink"/>
            <w:rtl/>
          </w:rPr>
          <w:fldChar w:fldCharType="begin"/>
        </w:r>
        <w:r w:rsidR="00B12397">
          <w:rPr>
            <w:webHidden/>
            <w:rtl/>
          </w:rPr>
          <w:instrText xml:space="preserve"> </w:instrText>
        </w:r>
        <w:r w:rsidR="00B12397">
          <w:rPr>
            <w:webHidden/>
          </w:rPr>
          <w:instrText>PAGEREF</w:instrText>
        </w:r>
        <w:r w:rsidR="00B12397">
          <w:rPr>
            <w:webHidden/>
            <w:rtl/>
          </w:rPr>
          <w:instrText xml:space="preserve"> _</w:instrText>
        </w:r>
        <w:r w:rsidR="00B12397">
          <w:rPr>
            <w:webHidden/>
          </w:rPr>
          <w:instrText>Toc20307915 \h</w:instrText>
        </w:r>
        <w:r w:rsidR="00B12397">
          <w:rPr>
            <w:webHidden/>
            <w:rtl/>
          </w:rPr>
          <w:instrText xml:space="preserve"> </w:instrText>
        </w:r>
        <w:r w:rsidR="00B12397">
          <w:rPr>
            <w:rStyle w:val="Hyperlink"/>
            <w:rtl/>
          </w:rPr>
        </w:r>
        <w:r w:rsidR="00B12397">
          <w:rPr>
            <w:rStyle w:val="Hyperlink"/>
            <w:rtl/>
          </w:rPr>
          <w:fldChar w:fldCharType="separate"/>
        </w:r>
        <w:r w:rsidR="00B12397">
          <w:rPr>
            <w:webHidden/>
            <w:rtl/>
          </w:rPr>
          <w:t>2</w:t>
        </w:r>
        <w:r w:rsidR="00B12397">
          <w:rPr>
            <w:rStyle w:val="Hyperlink"/>
            <w:rtl/>
          </w:rPr>
          <w:fldChar w:fldCharType="end"/>
        </w:r>
      </w:hyperlink>
    </w:p>
    <w:p w14:paraId="0CD227FC" w14:textId="77777777" w:rsidR="00B12397" w:rsidRDefault="00F85AA4" w:rsidP="00B12397">
      <w:pPr>
        <w:pStyle w:val="TOC1"/>
        <w:rPr>
          <w:rFonts w:asciiTheme="minorHAnsi" w:eastAsiaTheme="minorEastAsia" w:hAnsiTheme="minorHAnsi" w:cstheme="minorBidi"/>
          <w:bCs w:val="0"/>
          <w:noProof/>
          <w:sz w:val="22"/>
          <w:rtl/>
        </w:rPr>
      </w:pPr>
      <w:hyperlink w:anchor="_Toc20307916" w:history="1">
        <w:r w:rsidR="00B12397" w:rsidRPr="009703F9">
          <w:rPr>
            <w:rStyle w:val="Hyperlink"/>
            <w:rFonts w:hint="eastAsia"/>
            <w:noProof/>
            <w:rtl/>
          </w:rPr>
          <w:t>טיוטת</w:t>
        </w:r>
        <w:r w:rsidR="00B12397" w:rsidRPr="009703F9">
          <w:rPr>
            <w:rStyle w:val="Hyperlink"/>
            <w:noProof/>
            <w:rtl/>
          </w:rPr>
          <w:t xml:space="preserve"> </w:t>
        </w:r>
        <w:r w:rsidR="00B12397" w:rsidRPr="009703F9">
          <w:rPr>
            <w:rStyle w:val="Hyperlink"/>
            <w:rFonts w:hint="eastAsia"/>
            <w:noProof/>
            <w:rtl/>
          </w:rPr>
          <w:t>תקנות</w:t>
        </w:r>
        <w:r w:rsidR="00B12397" w:rsidRPr="009703F9">
          <w:rPr>
            <w:rStyle w:val="Hyperlink"/>
            <w:noProof/>
            <w:rtl/>
          </w:rPr>
          <w:t xml:space="preserve"> </w:t>
        </w:r>
        <w:r w:rsidR="00B12397" w:rsidRPr="009703F9">
          <w:rPr>
            <w:rStyle w:val="Hyperlink"/>
            <w:rFonts w:hint="eastAsia"/>
            <w:noProof/>
            <w:rtl/>
          </w:rPr>
          <w:t>שוויון</w:t>
        </w:r>
        <w:r w:rsidR="00B12397" w:rsidRPr="009703F9">
          <w:rPr>
            <w:rStyle w:val="Hyperlink"/>
            <w:noProof/>
            <w:rtl/>
          </w:rPr>
          <w:t xml:space="preserve"> </w:t>
        </w:r>
        <w:r w:rsidR="00B12397" w:rsidRPr="009703F9">
          <w:rPr>
            <w:rStyle w:val="Hyperlink"/>
            <w:rFonts w:hint="eastAsia"/>
            <w:noProof/>
            <w:rtl/>
          </w:rPr>
          <w:t>זכויות</w:t>
        </w:r>
        <w:r w:rsidR="00B12397" w:rsidRPr="009703F9">
          <w:rPr>
            <w:rStyle w:val="Hyperlink"/>
            <w:noProof/>
            <w:rtl/>
          </w:rPr>
          <w:t xml:space="preserve"> </w:t>
        </w:r>
        <w:r w:rsidR="00B12397" w:rsidRPr="009703F9">
          <w:rPr>
            <w:rStyle w:val="Hyperlink"/>
            <w:rFonts w:hint="eastAsia"/>
            <w:noProof/>
            <w:rtl/>
          </w:rPr>
          <w:t>לאנשים</w:t>
        </w:r>
        <w:r w:rsidR="00B12397" w:rsidRPr="009703F9">
          <w:rPr>
            <w:rStyle w:val="Hyperlink"/>
            <w:noProof/>
            <w:rtl/>
          </w:rPr>
          <w:t xml:space="preserve"> </w:t>
        </w:r>
        <w:r w:rsidR="00B12397" w:rsidRPr="009703F9">
          <w:rPr>
            <w:rStyle w:val="Hyperlink"/>
            <w:rFonts w:hint="eastAsia"/>
            <w:noProof/>
            <w:rtl/>
          </w:rPr>
          <w:t>עם</w:t>
        </w:r>
        <w:r w:rsidR="00B12397" w:rsidRPr="009703F9">
          <w:rPr>
            <w:rStyle w:val="Hyperlink"/>
            <w:noProof/>
            <w:rtl/>
          </w:rPr>
          <w:t xml:space="preserve"> </w:t>
        </w:r>
        <w:r w:rsidR="00B12397" w:rsidRPr="009703F9">
          <w:rPr>
            <w:rStyle w:val="Hyperlink"/>
            <w:rFonts w:hint="eastAsia"/>
            <w:noProof/>
            <w:rtl/>
          </w:rPr>
          <w:t>מוגבלות</w:t>
        </w:r>
        <w:r w:rsidR="00B12397" w:rsidRPr="009703F9">
          <w:rPr>
            <w:rStyle w:val="Hyperlink"/>
            <w:noProof/>
            <w:rtl/>
          </w:rPr>
          <w:t xml:space="preserve"> (</w:t>
        </w:r>
        <w:r w:rsidR="00B12397" w:rsidRPr="009703F9">
          <w:rPr>
            <w:rStyle w:val="Hyperlink"/>
            <w:rFonts w:hint="eastAsia"/>
            <w:noProof/>
            <w:rtl/>
          </w:rPr>
          <w:t>התאמות</w:t>
        </w:r>
        <w:r w:rsidR="00B12397" w:rsidRPr="009703F9">
          <w:rPr>
            <w:rStyle w:val="Hyperlink"/>
            <w:noProof/>
            <w:rtl/>
          </w:rPr>
          <w:t xml:space="preserve"> </w:t>
        </w:r>
        <w:r w:rsidR="00B12397" w:rsidRPr="009703F9">
          <w:rPr>
            <w:rStyle w:val="Hyperlink"/>
            <w:rFonts w:hint="eastAsia"/>
            <w:noProof/>
            <w:rtl/>
          </w:rPr>
          <w:t>נגישות</w:t>
        </w:r>
        <w:r w:rsidR="00B12397" w:rsidRPr="009703F9">
          <w:rPr>
            <w:rStyle w:val="Hyperlink"/>
            <w:noProof/>
            <w:rtl/>
          </w:rPr>
          <w:t xml:space="preserve"> </w:t>
        </w:r>
        <w:r w:rsidR="00B12397" w:rsidRPr="009703F9">
          <w:rPr>
            <w:rStyle w:val="Hyperlink"/>
            <w:rFonts w:hint="eastAsia"/>
            <w:noProof/>
            <w:rtl/>
          </w:rPr>
          <w:t>לשירות</w:t>
        </w:r>
        <w:r w:rsidR="00B12397" w:rsidRPr="009703F9">
          <w:rPr>
            <w:rStyle w:val="Hyperlink"/>
            <w:noProof/>
            <w:rtl/>
          </w:rPr>
          <w:t>) (</w:t>
        </w:r>
        <w:r w:rsidR="00B12397" w:rsidRPr="009703F9">
          <w:rPr>
            <w:rStyle w:val="Hyperlink"/>
            <w:rFonts w:hint="eastAsia"/>
            <w:noProof/>
            <w:rtl/>
          </w:rPr>
          <w:t>תיקון</w:t>
        </w:r>
        <w:r w:rsidR="00B12397" w:rsidRPr="009703F9">
          <w:rPr>
            <w:rStyle w:val="Hyperlink"/>
            <w:noProof/>
            <w:rtl/>
          </w:rPr>
          <w:t>)</w:t>
        </w:r>
        <w:r w:rsidR="00B12397">
          <w:rPr>
            <w:noProof/>
            <w:webHidden/>
            <w:rtl/>
          </w:rPr>
          <w:tab/>
        </w:r>
        <w:r w:rsidR="00B12397">
          <w:rPr>
            <w:rStyle w:val="Hyperlink"/>
            <w:noProof/>
            <w:rtl/>
          </w:rPr>
          <w:fldChar w:fldCharType="begin"/>
        </w:r>
        <w:r w:rsidR="00B12397">
          <w:rPr>
            <w:noProof/>
            <w:webHidden/>
            <w:rtl/>
          </w:rPr>
          <w:instrText xml:space="preserve"> </w:instrText>
        </w:r>
        <w:r w:rsidR="00B12397">
          <w:rPr>
            <w:noProof/>
            <w:webHidden/>
          </w:rPr>
          <w:instrText>PAGEREF</w:instrText>
        </w:r>
        <w:r w:rsidR="00B12397">
          <w:rPr>
            <w:noProof/>
            <w:webHidden/>
            <w:rtl/>
          </w:rPr>
          <w:instrText xml:space="preserve"> _</w:instrText>
        </w:r>
        <w:r w:rsidR="00B12397">
          <w:rPr>
            <w:noProof/>
            <w:webHidden/>
          </w:rPr>
          <w:instrText>Toc20307916 \h</w:instrText>
        </w:r>
        <w:r w:rsidR="00B12397">
          <w:rPr>
            <w:noProof/>
            <w:webHidden/>
            <w:rtl/>
          </w:rPr>
          <w:instrText xml:space="preserve"> </w:instrText>
        </w:r>
        <w:r w:rsidR="00B12397">
          <w:rPr>
            <w:rStyle w:val="Hyperlink"/>
            <w:noProof/>
            <w:rtl/>
          </w:rPr>
        </w:r>
        <w:r w:rsidR="00B12397">
          <w:rPr>
            <w:rStyle w:val="Hyperlink"/>
            <w:noProof/>
            <w:rtl/>
          </w:rPr>
          <w:fldChar w:fldCharType="separate"/>
        </w:r>
        <w:r w:rsidR="00B12397">
          <w:rPr>
            <w:noProof/>
            <w:webHidden/>
            <w:rtl/>
          </w:rPr>
          <w:t>2</w:t>
        </w:r>
        <w:r w:rsidR="00B12397">
          <w:rPr>
            <w:rStyle w:val="Hyperlink"/>
            <w:noProof/>
            <w:rtl/>
          </w:rPr>
          <w:fldChar w:fldCharType="end"/>
        </w:r>
      </w:hyperlink>
    </w:p>
    <w:p w14:paraId="7554B08E" w14:textId="77777777" w:rsidR="00B12397" w:rsidRDefault="00F85AA4" w:rsidP="00B12397">
      <w:pPr>
        <w:pStyle w:val="TOC3"/>
        <w:rPr>
          <w:rFonts w:asciiTheme="minorHAnsi" w:eastAsiaTheme="minorEastAsia" w:hAnsiTheme="minorHAnsi" w:cstheme="minorBidi"/>
          <w:noProof/>
          <w:sz w:val="22"/>
          <w:rtl/>
        </w:rPr>
      </w:pPr>
      <w:hyperlink w:anchor="_Toc20307917" w:history="1">
        <w:r w:rsidR="00B12397" w:rsidRPr="009703F9">
          <w:rPr>
            <w:rStyle w:val="Hyperlink"/>
            <w:rFonts w:hint="eastAsia"/>
            <w:noProof/>
            <w:rtl/>
          </w:rPr>
          <w:t>תיקון</w:t>
        </w:r>
        <w:r w:rsidR="00B12397" w:rsidRPr="009703F9">
          <w:rPr>
            <w:rStyle w:val="Hyperlink"/>
            <w:noProof/>
            <w:rtl/>
          </w:rPr>
          <w:t xml:space="preserve"> </w:t>
        </w:r>
        <w:r w:rsidR="00B12397" w:rsidRPr="009703F9">
          <w:rPr>
            <w:rStyle w:val="Hyperlink"/>
            <w:rFonts w:hint="eastAsia"/>
            <w:noProof/>
            <w:rtl/>
          </w:rPr>
          <w:t>תקנה</w:t>
        </w:r>
        <w:r w:rsidR="00B12397" w:rsidRPr="009703F9">
          <w:rPr>
            <w:rStyle w:val="Hyperlink"/>
            <w:noProof/>
            <w:rtl/>
          </w:rPr>
          <w:t xml:space="preserve"> 13</w:t>
        </w:r>
        <w:r w:rsidR="00B12397">
          <w:rPr>
            <w:noProof/>
            <w:webHidden/>
            <w:rtl/>
          </w:rPr>
          <w:tab/>
        </w:r>
        <w:r w:rsidR="00B12397">
          <w:rPr>
            <w:rStyle w:val="Hyperlink"/>
            <w:noProof/>
            <w:rtl/>
          </w:rPr>
          <w:fldChar w:fldCharType="begin"/>
        </w:r>
        <w:r w:rsidR="00B12397">
          <w:rPr>
            <w:noProof/>
            <w:webHidden/>
            <w:rtl/>
          </w:rPr>
          <w:instrText xml:space="preserve"> </w:instrText>
        </w:r>
        <w:r w:rsidR="00B12397">
          <w:rPr>
            <w:noProof/>
            <w:webHidden/>
          </w:rPr>
          <w:instrText>PAGEREF</w:instrText>
        </w:r>
        <w:r w:rsidR="00B12397">
          <w:rPr>
            <w:noProof/>
            <w:webHidden/>
            <w:rtl/>
          </w:rPr>
          <w:instrText xml:space="preserve"> _</w:instrText>
        </w:r>
        <w:r w:rsidR="00B12397">
          <w:rPr>
            <w:noProof/>
            <w:webHidden/>
          </w:rPr>
          <w:instrText>Toc20307917 \h</w:instrText>
        </w:r>
        <w:r w:rsidR="00B12397">
          <w:rPr>
            <w:noProof/>
            <w:webHidden/>
            <w:rtl/>
          </w:rPr>
          <w:instrText xml:space="preserve"> </w:instrText>
        </w:r>
        <w:r w:rsidR="00B12397">
          <w:rPr>
            <w:rStyle w:val="Hyperlink"/>
            <w:noProof/>
            <w:rtl/>
          </w:rPr>
        </w:r>
        <w:r w:rsidR="00B12397">
          <w:rPr>
            <w:rStyle w:val="Hyperlink"/>
            <w:noProof/>
            <w:rtl/>
          </w:rPr>
          <w:fldChar w:fldCharType="separate"/>
        </w:r>
        <w:r w:rsidR="00B12397">
          <w:rPr>
            <w:noProof/>
            <w:webHidden/>
            <w:rtl/>
          </w:rPr>
          <w:t>2</w:t>
        </w:r>
        <w:r w:rsidR="00B12397">
          <w:rPr>
            <w:rStyle w:val="Hyperlink"/>
            <w:noProof/>
            <w:rtl/>
          </w:rPr>
          <w:fldChar w:fldCharType="end"/>
        </w:r>
      </w:hyperlink>
    </w:p>
    <w:p w14:paraId="4D0638C3" w14:textId="77777777" w:rsidR="00B12397" w:rsidRDefault="00F85AA4" w:rsidP="00B12397">
      <w:pPr>
        <w:pStyle w:val="TOC3"/>
        <w:rPr>
          <w:rFonts w:asciiTheme="minorHAnsi" w:eastAsiaTheme="minorEastAsia" w:hAnsiTheme="minorHAnsi" w:cstheme="minorBidi"/>
          <w:noProof/>
          <w:sz w:val="22"/>
          <w:rtl/>
        </w:rPr>
      </w:pPr>
      <w:hyperlink w:anchor="_Toc20307918" w:history="1">
        <w:r w:rsidR="00B12397" w:rsidRPr="009703F9">
          <w:rPr>
            <w:rStyle w:val="Hyperlink"/>
            <w:rFonts w:hint="eastAsia"/>
            <w:noProof/>
            <w:rtl/>
          </w:rPr>
          <w:t>תיקון</w:t>
        </w:r>
        <w:r w:rsidR="00B12397" w:rsidRPr="009703F9">
          <w:rPr>
            <w:rStyle w:val="Hyperlink"/>
            <w:noProof/>
            <w:rtl/>
          </w:rPr>
          <w:t xml:space="preserve"> </w:t>
        </w:r>
        <w:r w:rsidR="00B12397" w:rsidRPr="009703F9">
          <w:rPr>
            <w:rStyle w:val="Hyperlink"/>
            <w:rFonts w:hint="eastAsia"/>
            <w:noProof/>
            <w:rtl/>
          </w:rPr>
          <w:t>תקנה</w:t>
        </w:r>
        <w:r w:rsidR="00B12397" w:rsidRPr="009703F9">
          <w:rPr>
            <w:rStyle w:val="Hyperlink"/>
            <w:noProof/>
            <w:rtl/>
          </w:rPr>
          <w:t xml:space="preserve"> 86</w:t>
        </w:r>
        <w:r w:rsidR="00B12397">
          <w:rPr>
            <w:noProof/>
            <w:webHidden/>
            <w:rtl/>
          </w:rPr>
          <w:tab/>
        </w:r>
        <w:r w:rsidR="00B12397">
          <w:rPr>
            <w:rStyle w:val="Hyperlink"/>
            <w:noProof/>
            <w:rtl/>
          </w:rPr>
          <w:fldChar w:fldCharType="begin"/>
        </w:r>
        <w:r w:rsidR="00B12397">
          <w:rPr>
            <w:noProof/>
            <w:webHidden/>
            <w:rtl/>
          </w:rPr>
          <w:instrText xml:space="preserve"> </w:instrText>
        </w:r>
        <w:r w:rsidR="00B12397">
          <w:rPr>
            <w:noProof/>
            <w:webHidden/>
          </w:rPr>
          <w:instrText>PAGEREF</w:instrText>
        </w:r>
        <w:r w:rsidR="00B12397">
          <w:rPr>
            <w:noProof/>
            <w:webHidden/>
            <w:rtl/>
          </w:rPr>
          <w:instrText xml:space="preserve"> _</w:instrText>
        </w:r>
        <w:r w:rsidR="00B12397">
          <w:rPr>
            <w:noProof/>
            <w:webHidden/>
          </w:rPr>
          <w:instrText>Toc20307918 \h</w:instrText>
        </w:r>
        <w:r w:rsidR="00B12397">
          <w:rPr>
            <w:noProof/>
            <w:webHidden/>
            <w:rtl/>
          </w:rPr>
          <w:instrText xml:space="preserve"> </w:instrText>
        </w:r>
        <w:r w:rsidR="00B12397">
          <w:rPr>
            <w:rStyle w:val="Hyperlink"/>
            <w:noProof/>
            <w:rtl/>
          </w:rPr>
        </w:r>
        <w:r w:rsidR="00B12397">
          <w:rPr>
            <w:rStyle w:val="Hyperlink"/>
            <w:noProof/>
            <w:rtl/>
          </w:rPr>
          <w:fldChar w:fldCharType="separate"/>
        </w:r>
        <w:r w:rsidR="00B12397">
          <w:rPr>
            <w:noProof/>
            <w:webHidden/>
            <w:rtl/>
          </w:rPr>
          <w:t>3</w:t>
        </w:r>
        <w:r w:rsidR="00B12397">
          <w:rPr>
            <w:rStyle w:val="Hyperlink"/>
            <w:noProof/>
            <w:rtl/>
          </w:rPr>
          <w:fldChar w:fldCharType="end"/>
        </w:r>
      </w:hyperlink>
    </w:p>
    <w:p w14:paraId="02BC7061" w14:textId="77777777" w:rsidR="00B12397" w:rsidRDefault="00F85AA4" w:rsidP="00B12397">
      <w:pPr>
        <w:pStyle w:val="TOC3"/>
        <w:rPr>
          <w:rFonts w:asciiTheme="minorHAnsi" w:eastAsiaTheme="minorEastAsia" w:hAnsiTheme="minorHAnsi" w:cstheme="minorBidi"/>
          <w:noProof/>
          <w:sz w:val="22"/>
          <w:rtl/>
        </w:rPr>
      </w:pPr>
      <w:hyperlink w:anchor="_Toc20307919" w:history="1">
        <w:r w:rsidR="00B12397" w:rsidRPr="009703F9">
          <w:rPr>
            <w:rStyle w:val="Hyperlink"/>
            <w:rFonts w:hint="eastAsia"/>
            <w:noProof/>
            <w:rtl/>
          </w:rPr>
          <w:t>הוספת</w:t>
        </w:r>
        <w:r w:rsidR="00B12397" w:rsidRPr="009703F9">
          <w:rPr>
            <w:rStyle w:val="Hyperlink"/>
            <w:noProof/>
            <w:rtl/>
          </w:rPr>
          <w:t xml:space="preserve"> </w:t>
        </w:r>
        <w:r w:rsidR="00B12397" w:rsidRPr="009703F9">
          <w:rPr>
            <w:rStyle w:val="Hyperlink"/>
            <w:rFonts w:hint="eastAsia"/>
            <w:noProof/>
            <w:rtl/>
          </w:rPr>
          <w:t>תקנה</w:t>
        </w:r>
        <w:r w:rsidR="00B12397" w:rsidRPr="009703F9">
          <w:rPr>
            <w:rStyle w:val="Hyperlink"/>
            <w:noProof/>
            <w:rtl/>
          </w:rPr>
          <w:t xml:space="preserve"> 86</w:t>
        </w:r>
        <w:r w:rsidR="00B12397" w:rsidRPr="009703F9">
          <w:rPr>
            <w:rStyle w:val="Hyperlink"/>
            <w:rFonts w:hint="eastAsia"/>
            <w:noProof/>
            <w:rtl/>
          </w:rPr>
          <w:t>א</w:t>
        </w:r>
        <w:r w:rsidR="00B12397">
          <w:rPr>
            <w:noProof/>
            <w:webHidden/>
            <w:rtl/>
          </w:rPr>
          <w:tab/>
        </w:r>
        <w:r w:rsidR="00B12397">
          <w:rPr>
            <w:rStyle w:val="Hyperlink"/>
            <w:noProof/>
            <w:rtl/>
          </w:rPr>
          <w:fldChar w:fldCharType="begin"/>
        </w:r>
        <w:r w:rsidR="00B12397">
          <w:rPr>
            <w:noProof/>
            <w:webHidden/>
            <w:rtl/>
          </w:rPr>
          <w:instrText xml:space="preserve"> </w:instrText>
        </w:r>
        <w:r w:rsidR="00B12397">
          <w:rPr>
            <w:noProof/>
            <w:webHidden/>
          </w:rPr>
          <w:instrText>PAGEREF</w:instrText>
        </w:r>
        <w:r w:rsidR="00B12397">
          <w:rPr>
            <w:noProof/>
            <w:webHidden/>
            <w:rtl/>
          </w:rPr>
          <w:instrText xml:space="preserve"> _</w:instrText>
        </w:r>
        <w:r w:rsidR="00B12397">
          <w:rPr>
            <w:noProof/>
            <w:webHidden/>
          </w:rPr>
          <w:instrText>Toc20307919 \h</w:instrText>
        </w:r>
        <w:r w:rsidR="00B12397">
          <w:rPr>
            <w:noProof/>
            <w:webHidden/>
            <w:rtl/>
          </w:rPr>
          <w:instrText xml:space="preserve"> </w:instrText>
        </w:r>
        <w:r w:rsidR="00B12397">
          <w:rPr>
            <w:rStyle w:val="Hyperlink"/>
            <w:noProof/>
            <w:rtl/>
          </w:rPr>
        </w:r>
        <w:r w:rsidR="00B12397">
          <w:rPr>
            <w:rStyle w:val="Hyperlink"/>
            <w:noProof/>
            <w:rtl/>
          </w:rPr>
          <w:fldChar w:fldCharType="separate"/>
        </w:r>
        <w:r w:rsidR="00B12397">
          <w:rPr>
            <w:noProof/>
            <w:webHidden/>
            <w:rtl/>
          </w:rPr>
          <w:t>3</w:t>
        </w:r>
        <w:r w:rsidR="00B12397">
          <w:rPr>
            <w:rStyle w:val="Hyperlink"/>
            <w:noProof/>
            <w:rtl/>
          </w:rPr>
          <w:fldChar w:fldCharType="end"/>
        </w:r>
      </w:hyperlink>
    </w:p>
    <w:p w14:paraId="122FDD0F" w14:textId="77777777" w:rsidR="00B12397" w:rsidRDefault="00F85AA4" w:rsidP="00B12397">
      <w:pPr>
        <w:pStyle w:val="TOC3"/>
        <w:rPr>
          <w:rFonts w:asciiTheme="minorHAnsi" w:eastAsiaTheme="minorEastAsia" w:hAnsiTheme="minorHAnsi" w:cstheme="minorBidi"/>
          <w:noProof/>
          <w:sz w:val="22"/>
          <w:rtl/>
        </w:rPr>
      </w:pPr>
      <w:hyperlink w:anchor="_Toc20307920" w:history="1">
        <w:r w:rsidR="00B12397" w:rsidRPr="009703F9">
          <w:rPr>
            <w:rStyle w:val="Hyperlink"/>
            <w:rFonts w:hint="eastAsia"/>
            <w:noProof/>
            <w:rtl/>
          </w:rPr>
          <w:t>תיקון</w:t>
        </w:r>
        <w:r w:rsidR="00B12397" w:rsidRPr="009703F9">
          <w:rPr>
            <w:rStyle w:val="Hyperlink"/>
            <w:noProof/>
            <w:rtl/>
          </w:rPr>
          <w:t xml:space="preserve"> </w:t>
        </w:r>
        <w:r w:rsidR="00B12397" w:rsidRPr="009703F9">
          <w:rPr>
            <w:rStyle w:val="Hyperlink"/>
            <w:rFonts w:hint="eastAsia"/>
            <w:noProof/>
            <w:rtl/>
          </w:rPr>
          <w:t>תקנת</w:t>
        </w:r>
        <w:r w:rsidR="00B12397" w:rsidRPr="009703F9">
          <w:rPr>
            <w:rStyle w:val="Hyperlink"/>
            <w:noProof/>
            <w:rtl/>
          </w:rPr>
          <w:t xml:space="preserve"> </w:t>
        </w:r>
        <w:r w:rsidR="00B12397" w:rsidRPr="009703F9">
          <w:rPr>
            <w:rStyle w:val="Hyperlink"/>
            <w:rFonts w:hint="eastAsia"/>
            <w:noProof/>
            <w:rtl/>
          </w:rPr>
          <w:t>משנה</w:t>
        </w:r>
        <w:r w:rsidR="00B12397" w:rsidRPr="009703F9">
          <w:rPr>
            <w:rStyle w:val="Hyperlink"/>
            <w:noProof/>
            <w:rtl/>
          </w:rPr>
          <w:t xml:space="preserve"> 10(</w:t>
        </w:r>
        <w:r w:rsidR="00B12397" w:rsidRPr="009703F9">
          <w:rPr>
            <w:rStyle w:val="Hyperlink"/>
            <w:rFonts w:hint="eastAsia"/>
            <w:noProof/>
            <w:rtl/>
          </w:rPr>
          <w:t>ה</w:t>
        </w:r>
        <w:r w:rsidR="00B12397" w:rsidRPr="009703F9">
          <w:rPr>
            <w:rStyle w:val="Hyperlink"/>
            <w:noProof/>
            <w:rtl/>
          </w:rPr>
          <w:t xml:space="preserve">) </w:t>
        </w:r>
        <w:r w:rsidR="00B12397" w:rsidRPr="009703F9">
          <w:rPr>
            <w:rStyle w:val="Hyperlink"/>
            <w:rFonts w:hint="eastAsia"/>
            <w:noProof/>
            <w:rtl/>
          </w:rPr>
          <w:t>לתקנות</w:t>
        </w:r>
        <w:r w:rsidR="00B12397" w:rsidRPr="009703F9">
          <w:rPr>
            <w:rStyle w:val="Hyperlink"/>
            <w:noProof/>
            <w:rtl/>
          </w:rPr>
          <w:t xml:space="preserve"> </w:t>
        </w:r>
        <w:r w:rsidR="00B12397" w:rsidRPr="009703F9">
          <w:rPr>
            <w:rStyle w:val="Hyperlink"/>
            <w:rFonts w:hint="eastAsia"/>
            <w:noProof/>
            <w:rtl/>
          </w:rPr>
          <w:t>נגישות</w:t>
        </w:r>
        <w:r w:rsidR="00B12397" w:rsidRPr="009703F9">
          <w:rPr>
            <w:rStyle w:val="Hyperlink"/>
            <w:noProof/>
            <w:rtl/>
          </w:rPr>
          <w:t xml:space="preserve"> </w:t>
        </w:r>
        <w:r w:rsidR="00B12397" w:rsidRPr="009703F9">
          <w:rPr>
            <w:rStyle w:val="Hyperlink"/>
            <w:rFonts w:hint="eastAsia"/>
            <w:noProof/>
            <w:rtl/>
          </w:rPr>
          <w:t>מקום</w:t>
        </w:r>
        <w:r w:rsidR="00B12397" w:rsidRPr="009703F9">
          <w:rPr>
            <w:rStyle w:val="Hyperlink"/>
            <w:noProof/>
            <w:rtl/>
          </w:rPr>
          <w:t xml:space="preserve"> </w:t>
        </w:r>
        <w:r w:rsidR="00B12397" w:rsidRPr="009703F9">
          <w:rPr>
            <w:rStyle w:val="Hyperlink"/>
            <w:rFonts w:hint="eastAsia"/>
            <w:noProof/>
            <w:rtl/>
          </w:rPr>
          <w:t>קיים</w:t>
        </w:r>
        <w:r w:rsidR="00B12397">
          <w:rPr>
            <w:noProof/>
            <w:webHidden/>
            <w:rtl/>
          </w:rPr>
          <w:tab/>
        </w:r>
        <w:r w:rsidR="00B12397">
          <w:rPr>
            <w:rStyle w:val="Hyperlink"/>
            <w:noProof/>
            <w:rtl/>
          </w:rPr>
          <w:fldChar w:fldCharType="begin"/>
        </w:r>
        <w:r w:rsidR="00B12397">
          <w:rPr>
            <w:noProof/>
            <w:webHidden/>
            <w:rtl/>
          </w:rPr>
          <w:instrText xml:space="preserve"> </w:instrText>
        </w:r>
        <w:r w:rsidR="00B12397">
          <w:rPr>
            <w:noProof/>
            <w:webHidden/>
          </w:rPr>
          <w:instrText>PAGEREF</w:instrText>
        </w:r>
        <w:r w:rsidR="00B12397">
          <w:rPr>
            <w:noProof/>
            <w:webHidden/>
            <w:rtl/>
          </w:rPr>
          <w:instrText xml:space="preserve"> _</w:instrText>
        </w:r>
        <w:r w:rsidR="00B12397">
          <w:rPr>
            <w:noProof/>
            <w:webHidden/>
          </w:rPr>
          <w:instrText>Toc20307920 \h</w:instrText>
        </w:r>
        <w:r w:rsidR="00B12397">
          <w:rPr>
            <w:noProof/>
            <w:webHidden/>
            <w:rtl/>
          </w:rPr>
          <w:instrText xml:space="preserve"> </w:instrText>
        </w:r>
        <w:r w:rsidR="00B12397">
          <w:rPr>
            <w:rStyle w:val="Hyperlink"/>
            <w:noProof/>
            <w:rtl/>
          </w:rPr>
        </w:r>
        <w:r w:rsidR="00B12397">
          <w:rPr>
            <w:rStyle w:val="Hyperlink"/>
            <w:noProof/>
            <w:rtl/>
          </w:rPr>
          <w:fldChar w:fldCharType="separate"/>
        </w:r>
        <w:r w:rsidR="00B12397">
          <w:rPr>
            <w:noProof/>
            <w:webHidden/>
            <w:rtl/>
          </w:rPr>
          <w:t>7</w:t>
        </w:r>
        <w:r w:rsidR="00B12397">
          <w:rPr>
            <w:rStyle w:val="Hyperlink"/>
            <w:noProof/>
            <w:rtl/>
          </w:rPr>
          <w:fldChar w:fldCharType="end"/>
        </w:r>
      </w:hyperlink>
    </w:p>
    <w:p w14:paraId="5140352F" w14:textId="77777777" w:rsidR="00B12397" w:rsidRDefault="00F85AA4" w:rsidP="00B12397">
      <w:pPr>
        <w:pStyle w:val="TOC2"/>
        <w:rPr>
          <w:rFonts w:asciiTheme="minorHAnsi" w:eastAsiaTheme="minorEastAsia" w:hAnsiTheme="minorHAnsi" w:cstheme="minorBidi"/>
          <w:noProof/>
          <w:sz w:val="22"/>
          <w:rtl/>
        </w:rPr>
      </w:pPr>
      <w:hyperlink w:anchor="_Toc20307921" w:history="1">
        <w:r w:rsidR="00B12397" w:rsidRPr="009703F9">
          <w:rPr>
            <w:rStyle w:val="Hyperlink"/>
            <w:rFonts w:hint="eastAsia"/>
            <w:noProof/>
            <w:rtl/>
          </w:rPr>
          <w:t>דברי</w:t>
        </w:r>
        <w:r w:rsidR="00B12397" w:rsidRPr="009703F9">
          <w:rPr>
            <w:rStyle w:val="Hyperlink"/>
            <w:noProof/>
            <w:rtl/>
          </w:rPr>
          <w:t xml:space="preserve"> </w:t>
        </w:r>
        <w:r w:rsidR="00B12397" w:rsidRPr="009703F9">
          <w:rPr>
            <w:rStyle w:val="Hyperlink"/>
            <w:rFonts w:hint="eastAsia"/>
            <w:noProof/>
            <w:rtl/>
          </w:rPr>
          <w:t>הסבר</w:t>
        </w:r>
        <w:r w:rsidR="00B12397">
          <w:rPr>
            <w:noProof/>
            <w:webHidden/>
            <w:rtl/>
          </w:rPr>
          <w:tab/>
        </w:r>
        <w:r w:rsidR="00B12397">
          <w:rPr>
            <w:rStyle w:val="Hyperlink"/>
            <w:noProof/>
            <w:rtl/>
          </w:rPr>
          <w:fldChar w:fldCharType="begin"/>
        </w:r>
        <w:r w:rsidR="00B12397">
          <w:rPr>
            <w:noProof/>
            <w:webHidden/>
            <w:rtl/>
          </w:rPr>
          <w:instrText xml:space="preserve"> </w:instrText>
        </w:r>
        <w:r w:rsidR="00B12397">
          <w:rPr>
            <w:noProof/>
            <w:webHidden/>
          </w:rPr>
          <w:instrText>PAGEREF</w:instrText>
        </w:r>
        <w:r w:rsidR="00B12397">
          <w:rPr>
            <w:noProof/>
            <w:webHidden/>
            <w:rtl/>
          </w:rPr>
          <w:instrText xml:space="preserve"> _</w:instrText>
        </w:r>
        <w:r w:rsidR="00B12397">
          <w:rPr>
            <w:noProof/>
            <w:webHidden/>
          </w:rPr>
          <w:instrText>Toc20307921 \h</w:instrText>
        </w:r>
        <w:r w:rsidR="00B12397">
          <w:rPr>
            <w:noProof/>
            <w:webHidden/>
            <w:rtl/>
          </w:rPr>
          <w:instrText xml:space="preserve"> </w:instrText>
        </w:r>
        <w:r w:rsidR="00B12397">
          <w:rPr>
            <w:rStyle w:val="Hyperlink"/>
            <w:noProof/>
            <w:rtl/>
          </w:rPr>
        </w:r>
        <w:r w:rsidR="00B12397">
          <w:rPr>
            <w:rStyle w:val="Hyperlink"/>
            <w:noProof/>
            <w:rtl/>
          </w:rPr>
          <w:fldChar w:fldCharType="separate"/>
        </w:r>
        <w:r w:rsidR="00B12397">
          <w:rPr>
            <w:noProof/>
            <w:webHidden/>
            <w:rtl/>
          </w:rPr>
          <w:t>9</w:t>
        </w:r>
        <w:r w:rsidR="00B12397">
          <w:rPr>
            <w:rStyle w:val="Hyperlink"/>
            <w:noProof/>
            <w:rtl/>
          </w:rPr>
          <w:fldChar w:fldCharType="end"/>
        </w:r>
      </w:hyperlink>
    </w:p>
    <w:p w14:paraId="04CB91C7" w14:textId="0A315AD2" w:rsidR="003B436F" w:rsidRDefault="00B12397" w:rsidP="00B12397">
      <w:pPr>
        <w:rPr>
          <w:snapToGrid w:val="0"/>
          <w:rtl/>
        </w:rPr>
      </w:pPr>
      <w:r>
        <w:rPr>
          <w:rtl/>
        </w:rPr>
        <w:fldChar w:fldCharType="end"/>
      </w:r>
      <w:r w:rsidR="003B436F">
        <w:rPr>
          <w:rtl/>
        </w:rPr>
        <w:br w:type="page"/>
      </w:r>
    </w:p>
    <w:p w14:paraId="70481A2D" w14:textId="77777777" w:rsidR="00C64225" w:rsidRDefault="00C64225" w:rsidP="00026299">
      <w:pPr>
        <w:pStyle w:val="Heading1"/>
        <w:keepNext w:val="0"/>
        <w:keepLines w:val="0"/>
      </w:pPr>
      <w:bookmarkStart w:id="1" w:name="_Toc20151147"/>
      <w:bookmarkStart w:id="2" w:name="_Toc20151163"/>
      <w:bookmarkStart w:id="3" w:name="_Toc20307912"/>
      <w:r>
        <w:rPr>
          <w:rtl/>
        </w:rPr>
        <w:lastRenderedPageBreak/>
        <w:t>טיוטת תקנות</w:t>
      </w:r>
      <w:bookmarkEnd w:id="1"/>
      <w:bookmarkEnd w:id="2"/>
      <w:bookmarkEnd w:id="3"/>
    </w:p>
    <w:p w14:paraId="19212C95" w14:textId="77777777" w:rsidR="00C64225" w:rsidRDefault="00C64225" w:rsidP="00026299">
      <w:pPr>
        <w:rPr>
          <w:rtl/>
        </w:rPr>
      </w:pPr>
    </w:p>
    <w:p w14:paraId="28B809E6" w14:textId="77777777" w:rsidR="00C64225" w:rsidRDefault="00C64225" w:rsidP="00026299">
      <w:pPr>
        <w:pStyle w:val="Heading4"/>
        <w:rPr>
          <w:rtl/>
        </w:rPr>
      </w:pPr>
      <w:bookmarkStart w:id="4" w:name="_Toc20151164"/>
      <w:bookmarkStart w:id="5" w:name="_Toc20307913"/>
      <w:r>
        <w:rPr>
          <w:rFonts w:hint="cs"/>
          <w:rtl/>
        </w:rPr>
        <w:t>שם התקנות המוצעות</w:t>
      </w:r>
      <w:bookmarkEnd w:id="4"/>
      <w:bookmarkEnd w:id="5"/>
    </w:p>
    <w:p w14:paraId="3760981E" w14:textId="77777777" w:rsidR="00C64225" w:rsidRDefault="00C64225" w:rsidP="00026299">
      <w:r>
        <w:rPr>
          <w:rFonts w:hint="cs"/>
          <w:rtl/>
        </w:rPr>
        <w:t>תקנות שוויון זכויות לאנשים עם מוגבלות (התאמות נגישות לשירות) (תיקון)</w:t>
      </w:r>
    </w:p>
    <w:p w14:paraId="0FB88F64" w14:textId="77777777" w:rsidR="00C64225" w:rsidRDefault="00C64225" w:rsidP="00026299">
      <w:pPr>
        <w:rPr>
          <w:rtl/>
        </w:rPr>
      </w:pPr>
    </w:p>
    <w:p w14:paraId="4BA99211" w14:textId="3DBCF10B" w:rsidR="003B436F" w:rsidRDefault="003B436F" w:rsidP="003B436F">
      <w:pPr>
        <w:pStyle w:val="Heading4"/>
        <w:rPr>
          <w:rtl/>
        </w:rPr>
      </w:pPr>
      <w:bookmarkStart w:id="6" w:name="_Toc20307914"/>
      <w:bookmarkStart w:id="7" w:name="_Toc20151165"/>
      <w:r>
        <w:rPr>
          <w:rFonts w:hint="cs"/>
          <w:rtl/>
        </w:rPr>
        <w:t>מטרת התקנות המוצעות והצורך בהן</w:t>
      </w:r>
      <w:bookmarkEnd w:id="6"/>
    </w:p>
    <w:p w14:paraId="76B76796" w14:textId="09DAC855" w:rsidR="00B12397" w:rsidRDefault="003B436F" w:rsidP="00B12397">
      <w:pPr>
        <w:rPr>
          <w:rtl/>
        </w:rPr>
      </w:pPr>
      <w:r>
        <w:rPr>
          <w:rFonts w:hint="cs"/>
          <w:rtl/>
        </w:rPr>
        <w:t>מוצע לתקן את רשימת הז</w:t>
      </w:r>
      <w:r w:rsidR="00627CA8">
        <w:rPr>
          <w:rFonts w:hint="cs"/>
          <w:rtl/>
        </w:rPr>
        <w:t xml:space="preserve">כאים לקדימות בתור מחמת מוגבלות, </w:t>
      </w:r>
      <w:r w:rsidR="00B12397">
        <w:rPr>
          <w:rFonts w:hint="cs"/>
          <w:rtl/>
        </w:rPr>
        <w:t>על מנת לתת מענה לאנשים וילדים עם מוגבלות שבעטיה הם אינם יכולים להמתין בתור ממושך.</w:t>
      </w:r>
    </w:p>
    <w:p w14:paraId="44868051" w14:textId="750DD522" w:rsidR="003B436F" w:rsidRDefault="00627CA8" w:rsidP="00B12397">
      <w:pPr>
        <w:rPr>
          <w:rtl/>
        </w:rPr>
      </w:pPr>
      <w:r>
        <w:rPr>
          <w:rFonts w:hint="cs"/>
          <w:rtl/>
        </w:rPr>
        <w:t xml:space="preserve"> </w:t>
      </w:r>
    </w:p>
    <w:p w14:paraId="14781861" w14:textId="76D97B3F" w:rsidR="003B436F" w:rsidRPr="003B436F" w:rsidRDefault="003B436F" w:rsidP="00B12397">
      <w:pPr>
        <w:rPr>
          <w:rtl/>
        </w:rPr>
      </w:pPr>
      <w:r>
        <w:rPr>
          <w:rFonts w:hint="cs"/>
          <w:rtl/>
        </w:rPr>
        <w:t>כן מוצע ל</w:t>
      </w:r>
      <w:r w:rsidR="00B12397">
        <w:rPr>
          <w:rFonts w:hint="cs"/>
          <w:rtl/>
        </w:rPr>
        <w:t xml:space="preserve">קבוע הסדר שיחייב נותני שירות מיוחדים </w:t>
      </w:r>
      <w:r>
        <w:rPr>
          <w:rFonts w:hint="cs"/>
          <w:rtl/>
        </w:rPr>
        <w:t>ל</w:t>
      </w:r>
      <w:r w:rsidR="00B12397">
        <w:rPr>
          <w:rFonts w:hint="cs"/>
          <w:rtl/>
        </w:rPr>
        <w:t>ספק</w:t>
      </w:r>
      <w:r>
        <w:rPr>
          <w:rFonts w:hint="cs"/>
          <w:rtl/>
        </w:rPr>
        <w:t xml:space="preserve"> את השירות רק במקום נגיש</w:t>
      </w:r>
      <w:r w:rsidR="00B12397">
        <w:rPr>
          <w:rFonts w:hint="cs"/>
          <w:rtl/>
        </w:rPr>
        <w:t>. עיקריו של ההסדר הם בכך שמיום התקנת התקנות</w:t>
      </w:r>
      <w:r>
        <w:rPr>
          <w:rFonts w:hint="cs"/>
          <w:rtl/>
        </w:rPr>
        <w:t xml:space="preserve"> </w:t>
      </w:r>
      <w:r w:rsidR="00B12397">
        <w:rPr>
          <w:rFonts w:hint="cs"/>
          <w:rtl/>
        </w:rPr>
        <w:t xml:space="preserve">- </w:t>
      </w:r>
      <w:r>
        <w:rPr>
          <w:rFonts w:hint="cs"/>
          <w:rtl/>
        </w:rPr>
        <w:t>פתיחת אתר חדש למתן שירות תתאפשר רק במקום נגיש</w:t>
      </w:r>
      <w:r w:rsidR="00B12397">
        <w:rPr>
          <w:rFonts w:hint="cs"/>
          <w:rtl/>
        </w:rPr>
        <w:t>.</w:t>
      </w:r>
      <w:r>
        <w:rPr>
          <w:rFonts w:hint="cs"/>
          <w:rtl/>
        </w:rPr>
        <w:t xml:space="preserve"> ואילו לגבי שירות שניתן כבר היום </w:t>
      </w:r>
      <w:r>
        <w:rPr>
          <w:rtl/>
        </w:rPr>
        <w:t>–</w:t>
      </w:r>
      <w:r>
        <w:rPr>
          <w:rFonts w:hint="cs"/>
          <w:rtl/>
        </w:rPr>
        <w:t xml:space="preserve"> ייקבעו רכיבי נגישות מסוימים שבהעדרם </w:t>
      </w:r>
      <w:r w:rsidR="00EA1D98">
        <w:rPr>
          <w:rFonts w:hint="cs"/>
          <w:rtl/>
        </w:rPr>
        <w:t>יחויב נותן השירות המיוחד</w:t>
      </w:r>
      <w:r>
        <w:rPr>
          <w:rFonts w:hint="cs"/>
          <w:rtl/>
        </w:rPr>
        <w:t xml:space="preserve"> לעבור מקום אלא אם י</w:t>
      </w:r>
      <w:r w:rsidR="00EA1D98">
        <w:rPr>
          <w:rFonts w:hint="cs"/>
          <w:rtl/>
        </w:rPr>
        <w:t>קבל</w:t>
      </w:r>
      <w:r>
        <w:rPr>
          <w:rFonts w:hint="cs"/>
          <w:rtl/>
        </w:rPr>
        <w:t xml:space="preserve"> אישור חריג מאת נציב שוויון זכויות לאנשים עם מוגבלות</w:t>
      </w:r>
      <w:r w:rsidR="00EA1D98">
        <w:rPr>
          <w:rFonts w:hint="cs"/>
          <w:rtl/>
        </w:rPr>
        <w:t xml:space="preserve"> להמשך מתן השירות</w:t>
      </w:r>
      <w:r w:rsidR="00B12397">
        <w:rPr>
          <w:rFonts w:hint="cs"/>
          <w:rtl/>
        </w:rPr>
        <w:t xml:space="preserve"> במקום (תוך ביצוע נגישות חלופית)</w:t>
      </w:r>
      <w:r>
        <w:rPr>
          <w:rFonts w:hint="cs"/>
          <w:rtl/>
        </w:rPr>
        <w:t>.</w:t>
      </w:r>
    </w:p>
    <w:p w14:paraId="3661B6A9" w14:textId="5DFAE4A4" w:rsidR="00C64225" w:rsidRDefault="00C64225" w:rsidP="00026299">
      <w:pPr>
        <w:pStyle w:val="Heading4"/>
      </w:pPr>
      <w:bookmarkStart w:id="8" w:name="_Toc20307915"/>
      <w:r>
        <w:rPr>
          <w:rFonts w:hint="cs"/>
          <w:rtl/>
        </w:rPr>
        <w:t>נוסח טיוטת התקנות המוצעות:</w:t>
      </w:r>
      <w:bookmarkEnd w:id="7"/>
      <w:bookmarkEnd w:id="8"/>
      <w:r>
        <w:rPr>
          <w:rFonts w:hint="cs"/>
          <w:rtl/>
        </w:rPr>
        <w:t xml:space="preserve"> </w:t>
      </w:r>
    </w:p>
    <w:p w14:paraId="5DA9483C" w14:textId="77777777" w:rsidR="00C64225" w:rsidRDefault="00C64225" w:rsidP="00C64225">
      <w:pPr>
        <w:pStyle w:val="HeadMitparsemetBaze"/>
        <w:keepNext w:val="0"/>
        <w:keepLines w:val="0"/>
        <w:pageBreakBefore w:val="0"/>
        <w:rPr>
          <w:rtl/>
        </w:rPr>
      </w:pPr>
      <w:r>
        <w:rPr>
          <w:rtl/>
        </w:rPr>
        <w:t>טיוטת תקנות מטעם משרד</w:t>
      </w:r>
      <w:r>
        <w:rPr>
          <w:rFonts w:hint="cs"/>
          <w:rtl/>
        </w:rPr>
        <w:t xml:space="preserve"> המשפטים</w:t>
      </w:r>
      <w:r>
        <w:rPr>
          <w:rtl/>
        </w:rPr>
        <w:t xml:space="preserve">: </w:t>
      </w:r>
    </w:p>
    <w:p w14:paraId="424513A4" w14:textId="77777777" w:rsidR="00C64225" w:rsidRDefault="00C64225" w:rsidP="00FF302A">
      <w:pPr>
        <w:pStyle w:val="HeadHatzaotHok"/>
        <w:keepNext w:val="0"/>
        <w:keepLines w:val="0"/>
        <w:rPr>
          <w:rtl/>
        </w:rPr>
      </w:pPr>
      <w:bookmarkStart w:id="9" w:name="_Toc20151148"/>
      <w:bookmarkStart w:id="10" w:name="_Toc20151166"/>
      <w:bookmarkStart w:id="11" w:name="_Toc20307916"/>
      <w:r>
        <w:rPr>
          <w:rtl/>
        </w:rPr>
        <w:t xml:space="preserve">טיוטת תקנות </w:t>
      </w:r>
      <w:r w:rsidR="00FF302A">
        <w:rPr>
          <w:rFonts w:hint="cs"/>
          <w:rtl/>
        </w:rPr>
        <w:t>שוויון זכויות לאנשים עם מוגבלות (התאמות נגישות לשירות) (תיקון)</w:t>
      </w:r>
      <w:bookmarkEnd w:id="9"/>
      <w:bookmarkEnd w:id="10"/>
      <w:bookmarkEnd w:id="11"/>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61"/>
        <w:gridCol w:w="567"/>
        <w:gridCol w:w="3400"/>
      </w:tblGrid>
      <w:tr w:rsidR="00C64225" w14:paraId="7524374A" w14:textId="77777777" w:rsidTr="00E94073">
        <w:trPr>
          <w:cantSplit/>
          <w:trHeight w:val="60"/>
        </w:trPr>
        <w:tc>
          <w:tcPr>
            <w:tcW w:w="1869" w:type="dxa"/>
          </w:tcPr>
          <w:p w14:paraId="6F0F5F5B" w14:textId="77777777" w:rsidR="00C64225" w:rsidRDefault="00C64225">
            <w:pPr>
              <w:pStyle w:val="TableSideHeading"/>
              <w:rPr>
                <w:rtl/>
              </w:rPr>
            </w:pPr>
          </w:p>
        </w:tc>
        <w:tc>
          <w:tcPr>
            <w:tcW w:w="624" w:type="dxa"/>
          </w:tcPr>
          <w:p w14:paraId="3BCA0BA9" w14:textId="77777777" w:rsidR="00C64225" w:rsidRDefault="00C64225">
            <w:pPr>
              <w:pStyle w:val="TableText"/>
            </w:pPr>
          </w:p>
        </w:tc>
        <w:tc>
          <w:tcPr>
            <w:tcW w:w="7148" w:type="dxa"/>
            <w:gridSpan w:val="8"/>
            <w:hideMark/>
          </w:tcPr>
          <w:p w14:paraId="512E37EC" w14:textId="01B7ACA1" w:rsidR="00C64225" w:rsidRDefault="00A315D3" w:rsidP="003B436F">
            <w:pPr>
              <w:pStyle w:val="TableBlock"/>
            </w:pPr>
            <w:r w:rsidRPr="006235EC">
              <w:rPr>
                <w:rFonts w:hint="cs"/>
                <w:rtl/>
              </w:rPr>
              <w:t>בתוקף סמכותי לפי סעיף 19יב לחוק שוויון זכויות לאנשים עם מוגבלות, התשנ"ח-1998</w:t>
            </w:r>
            <w:r w:rsidRPr="00EA6227">
              <w:rPr>
                <w:rStyle w:val="FootnoteReference"/>
                <w:b/>
                <w:bCs/>
                <w:rtl/>
              </w:rPr>
              <w:footnoteReference w:id="1"/>
            </w:r>
            <w:r w:rsidRPr="006235EC">
              <w:rPr>
                <w:rFonts w:hint="cs"/>
                <w:rtl/>
              </w:rPr>
              <w:t xml:space="preserve"> (להלן – החוק), ולאחר התייעצות עם נציב שוויון זכויות לאנשים עם מוגבלות ועם ארגונים העוסקים בקידום זכויותיהם של אנשים עם מוגבלות, בהסכמת שר האוצר לפי סעיף 19סז לחוק, ובאישור ועדת העבודה הרווחה והבריאות של הכנסת, אני מתקי</w:t>
            </w:r>
            <w:r w:rsidR="003B436F">
              <w:rPr>
                <w:rFonts w:hint="cs"/>
                <w:rtl/>
              </w:rPr>
              <w:t>ן</w:t>
            </w:r>
            <w:r w:rsidRPr="006235EC">
              <w:rPr>
                <w:rFonts w:hint="cs"/>
                <w:rtl/>
              </w:rPr>
              <w:t xml:space="preserve"> תקנות אלה</w:t>
            </w:r>
            <w:r w:rsidRPr="006235EC">
              <w:rPr>
                <w:rFonts w:hint="cs"/>
              </w:rPr>
              <w:t>:</w:t>
            </w:r>
          </w:p>
        </w:tc>
      </w:tr>
      <w:tr w:rsidR="00C64225" w14:paraId="46F627D9" w14:textId="77777777" w:rsidTr="00E94073">
        <w:trPr>
          <w:cantSplit/>
          <w:trHeight w:val="60"/>
        </w:trPr>
        <w:tc>
          <w:tcPr>
            <w:tcW w:w="1869" w:type="dxa"/>
          </w:tcPr>
          <w:p w14:paraId="096A1AEE" w14:textId="77777777" w:rsidR="00C64225" w:rsidRDefault="00C64225">
            <w:pPr>
              <w:pStyle w:val="TableSideHeading"/>
            </w:pPr>
          </w:p>
        </w:tc>
        <w:tc>
          <w:tcPr>
            <w:tcW w:w="624" w:type="dxa"/>
          </w:tcPr>
          <w:p w14:paraId="4697D87A" w14:textId="77777777" w:rsidR="00C64225" w:rsidRDefault="00C64225">
            <w:pPr>
              <w:pStyle w:val="TableText"/>
            </w:pPr>
          </w:p>
        </w:tc>
        <w:tc>
          <w:tcPr>
            <w:tcW w:w="7148" w:type="dxa"/>
            <w:gridSpan w:val="8"/>
          </w:tcPr>
          <w:p w14:paraId="4A58AD1E" w14:textId="77777777" w:rsidR="00C64225" w:rsidRPr="003B436F" w:rsidRDefault="00C64225">
            <w:pPr>
              <w:pStyle w:val="TableHead"/>
            </w:pPr>
          </w:p>
        </w:tc>
      </w:tr>
      <w:tr w:rsidR="00C64225" w14:paraId="0089C82B" w14:textId="77777777" w:rsidTr="00E94073">
        <w:trPr>
          <w:cantSplit/>
          <w:trHeight w:val="60"/>
        </w:trPr>
        <w:tc>
          <w:tcPr>
            <w:tcW w:w="1869" w:type="dxa"/>
          </w:tcPr>
          <w:p w14:paraId="6C638267" w14:textId="77777777" w:rsidR="00C64225" w:rsidRDefault="00A315D3">
            <w:pPr>
              <w:pStyle w:val="TableSideHeading"/>
            </w:pPr>
            <w:bookmarkStart w:id="12" w:name="_Toc20151149"/>
            <w:bookmarkStart w:id="13" w:name="_Toc20151167"/>
            <w:bookmarkStart w:id="14" w:name="_Toc20307917"/>
            <w:r>
              <w:rPr>
                <w:rFonts w:hint="cs"/>
                <w:rtl/>
              </w:rPr>
              <w:t>תיקון תקנה 13</w:t>
            </w:r>
            <w:bookmarkEnd w:id="12"/>
            <w:bookmarkEnd w:id="13"/>
            <w:bookmarkEnd w:id="14"/>
          </w:p>
        </w:tc>
        <w:tc>
          <w:tcPr>
            <w:tcW w:w="624" w:type="dxa"/>
          </w:tcPr>
          <w:p w14:paraId="408E89B3" w14:textId="77777777" w:rsidR="00C64225" w:rsidRDefault="00C64225" w:rsidP="00C64225">
            <w:pPr>
              <w:pStyle w:val="TableText"/>
              <w:numPr>
                <w:ilvl w:val="0"/>
                <w:numId w:val="2"/>
              </w:numPr>
            </w:pPr>
          </w:p>
        </w:tc>
        <w:tc>
          <w:tcPr>
            <w:tcW w:w="7148" w:type="dxa"/>
            <w:gridSpan w:val="8"/>
          </w:tcPr>
          <w:p w14:paraId="3745819A" w14:textId="77777777" w:rsidR="00C64225" w:rsidRDefault="00A315D3">
            <w:pPr>
              <w:pStyle w:val="TableBlock"/>
            </w:pPr>
            <w:r w:rsidRPr="00FA1E41">
              <w:rPr>
                <w:rtl/>
              </w:rPr>
              <w:t>ב</w:t>
            </w:r>
            <w:r>
              <w:rPr>
                <w:rFonts w:hint="cs"/>
                <w:rtl/>
              </w:rPr>
              <w:t>תקנה 13 ל</w:t>
            </w:r>
            <w:r w:rsidRPr="00FA1E41">
              <w:rPr>
                <w:rtl/>
              </w:rPr>
              <w:t xml:space="preserve">תקנות שוויון זכויות לאנשים עם מוגבלות (התאמות נגישות לשירות), </w:t>
            </w:r>
            <w:proofErr w:type="spellStart"/>
            <w:r>
              <w:rPr>
                <w:rFonts w:hint="cs"/>
                <w:rtl/>
              </w:rPr>
              <w:t>ה</w:t>
            </w:r>
            <w:r w:rsidRPr="00FA1E41">
              <w:rPr>
                <w:rtl/>
              </w:rPr>
              <w:t>תשע"ג</w:t>
            </w:r>
            <w:proofErr w:type="spellEnd"/>
            <w:r w:rsidRPr="00FA1E41">
              <w:rPr>
                <w:rtl/>
              </w:rPr>
              <w:t xml:space="preserve"> - 2013</w:t>
            </w:r>
            <w:r>
              <w:rPr>
                <w:rtl/>
              </w:rPr>
              <w:t xml:space="preserve"> </w:t>
            </w:r>
            <w:r w:rsidRPr="00FA1E41">
              <w:rPr>
                <w:rtl/>
              </w:rPr>
              <w:t>(להלן – התקנות)</w:t>
            </w:r>
          </w:p>
        </w:tc>
      </w:tr>
      <w:tr w:rsidR="00A315D3" w14:paraId="6D9070A1" w14:textId="77777777" w:rsidTr="00E94073">
        <w:trPr>
          <w:cantSplit/>
          <w:trHeight w:val="60"/>
        </w:trPr>
        <w:tc>
          <w:tcPr>
            <w:tcW w:w="1869" w:type="dxa"/>
          </w:tcPr>
          <w:p w14:paraId="40D0B738" w14:textId="77777777" w:rsidR="00A315D3" w:rsidRDefault="00A315D3">
            <w:pPr>
              <w:pStyle w:val="TableSideHeading"/>
            </w:pPr>
          </w:p>
        </w:tc>
        <w:tc>
          <w:tcPr>
            <w:tcW w:w="624" w:type="dxa"/>
          </w:tcPr>
          <w:p w14:paraId="2211AF85" w14:textId="77777777" w:rsidR="00A315D3" w:rsidRDefault="00A315D3">
            <w:pPr>
              <w:pStyle w:val="TableText"/>
            </w:pPr>
          </w:p>
        </w:tc>
        <w:tc>
          <w:tcPr>
            <w:tcW w:w="624" w:type="dxa"/>
          </w:tcPr>
          <w:p w14:paraId="1B874DE5" w14:textId="77777777" w:rsidR="00A315D3" w:rsidRDefault="00A315D3">
            <w:pPr>
              <w:pStyle w:val="TableText"/>
            </w:pPr>
          </w:p>
        </w:tc>
        <w:tc>
          <w:tcPr>
            <w:tcW w:w="6524" w:type="dxa"/>
            <w:gridSpan w:val="7"/>
          </w:tcPr>
          <w:p w14:paraId="30C41618" w14:textId="307EBBFB" w:rsidR="00A315D3" w:rsidRDefault="004D4A19" w:rsidP="00806032">
            <w:pPr>
              <w:pStyle w:val="TableBlock"/>
              <w:numPr>
                <w:ilvl w:val="0"/>
                <w:numId w:val="20"/>
              </w:numPr>
              <w:tabs>
                <w:tab w:val="left" w:pos="624"/>
              </w:tabs>
            </w:pPr>
            <w:r>
              <w:rPr>
                <w:rFonts w:hint="cs"/>
                <w:rtl/>
              </w:rPr>
              <w:t xml:space="preserve">בתקנת משנה (א), </w:t>
            </w:r>
            <w:r w:rsidR="00A315D3">
              <w:rPr>
                <w:rFonts w:hint="cs"/>
                <w:rtl/>
              </w:rPr>
              <w:t xml:space="preserve">במקום הקטע החל במילים "לבקשת אדם עם מוגבלות" </w:t>
            </w:r>
            <w:r w:rsidR="00621D74">
              <w:rPr>
                <w:rFonts w:hint="cs"/>
                <w:rtl/>
              </w:rPr>
              <w:t>ו</w:t>
            </w:r>
            <w:r w:rsidR="00A315D3">
              <w:rPr>
                <w:rFonts w:hint="cs"/>
                <w:rtl/>
              </w:rPr>
              <w:t>עד</w:t>
            </w:r>
            <w:r w:rsidR="00621D74">
              <w:rPr>
                <w:rFonts w:hint="cs"/>
                <w:rtl/>
              </w:rPr>
              <w:t xml:space="preserve"> </w:t>
            </w:r>
            <w:r>
              <w:rPr>
                <w:rFonts w:hint="cs"/>
                <w:rtl/>
              </w:rPr>
              <w:t xml:space="preserve">לסופה </w:t>
            </w:r>
            <w:r w:rsidR="00A315D3">
              <w:rPr>
                <w:rFonts w:hint="cs"/>
                <w:rtl/>
              </w:rPr>
              <w:t>יבוא "</w:t>
            </w:r>
            <w:r w:rsidR="00A315D3" w:rsidRPr="00A315D3">
              <w:rPr>
                <w:rFonts w:hint="cs"/>
                <w:rtl/>
              </w:rPr>
              <w:t xml:space="preserve">לבקשת אדם עם מוגבלות הזכאי לכך </w:t>
            </w:r>
            <w:r w:rsidR="00A315D3">
              <w:rPr>
                <w:rFonts w:hint="cs"/>
                <w:rtl/>
              </w:rPr>
              <w:t xml:space="preserve">לפי </w:t>
            </w:r>
            <w:r w:rsidR="00A315D3" w:rsidRPr="00A315D3">
              <w:rPr>
                <w:rFonts w:hint="cs"/>
                <w:rtl/>
              </w:rPr>
              <w:t>תקנת משנה (</w:t>
            </w:r>
            <w:r w:rsidR="0047350C">
              <w:rPr>
                <w:rFonts w:hint="cs"/>
                <w:rtl/>
              </w:rPr>
              <w:t>א2</w:t>
            </w:r>
            <w:r w:rsidR="00A315D3" w:rsidRPr="00A315D3">
              <w:rPr>
                <w:rFonts w:hint="cs"/>
                <w:rtl/>
              </w:rPr>
              <w:t>) או אדם המלווה אותו, ורשאי האחראי לדרוש מן האדם עם המוגבלות הצגת תעודה המציינת את זכאותו להתאמה זו</w:t>
            </w:r>
            <w:r w:rsidR="00A315D3">
              <w:rPr>
                <w:rFonts w:hint="cs"/>
                <w:rtl/>
              </w:rPr>
              <w:t>"</w:t>
            </w:r>
          </w:p>
        </w:tc>
      </w:tr>
      <w:tr w:rsidR="00621D74" w14:paraId="7AA1C07F" w14:textId="77777777" w:rsidTr="00E94073">
        <w:trPr>
          <w:cantSplit/>
          <w:trHeight w:val="60"/>
        </w:trPr>
        <w:tc>
          <w:tcPr>
            <w:tcW w:w="1869" w:type="dxa"/>
          </w:tcPr>
          <w:p w14:paraId="593DCF7E" w14:textId="77777777" w:rsidR="00621D74" w:rsidRDefault="00621D74">
            <w:pPr>
              <w:pStyle w:val="TableSideHeading"/>
            </w:pPr>
          </w:p>
        </w:tc>
        <w:tc>
          <w:tcPr>
            <w:tcW w:w="624" w:type="dxa"/>
          </w:tcPr>
          <w:p w14:paraId="334DEA1E" w14:textId="77777777" w:rsidR="00621D74" w:rsidRDefault="00621D74" w:rsidP="00621D74">
            <w:pPr>
              <w:pStyle w:val="TableText"/>
            </w:pPr>
          </w:p>
        </w:tc>
        <w:tc>
          <w:tcPr>
            <w:tcW w:w="624" w:type="dxa"/>
          </w:tcPr>
          <w:p w14:paraId="4F1B5677" w14:textId="77777777" w:rsidR="00621D74" w:rsidRDefault="00621D74">
            <w:pPr>
              <w:pStyle w:val="TableText"/>
            </w:pPr>
          </w:p>
        </w:tc>
        <w:tc>
          <w:tcPr>
            <w:tcW w:w="6524" w:type="dxa"/>
            <w:gridSpan w:val="7"/>
          </w:tcPr>
          <w:p w14:paraId="66D0FDB4" w14:textId="77777777" w:rsidR="00621D74" w:rsidRDefault="00621D74" w:rsidP="00621D74">
            <w:pPr>
              <w:pStyle w:val="TableBlock"/>
              <w:numPr>
                <w:ilvl w:val="0"/>
                <w:numId w:val="20"/>
              </w:numPr>
              <w:tabs>
                <w:tab w:val="left" w:pos="624"/>
              </w:tabs>
              <w:rPr>
                <w:rtl/>
              </w:rPr>
            </w:pPr>
            <w:r>
              <w:rPr>
                <w:rFonts w:hint="cs"/>
                <w:rtl/>
              </w:rPr>
              <w:t>אחרי תקנת משנה (א) יבוא</w:t>
            </w:r>
            <w:r w:rsidR="004D4A19">
              <w:rPr>
                <w:rFonts w:hint="cs"/>
                <w:rtl/>
              </w:rPr>
              <w:t>:</w:t>
            </w:r>
          </w:p>
        </w:tc>
      </w:tr>
      <w:tr w:rsidR="00621D74" w14:paraId="4B74FA2E" w14:textId="77777777" w:rsidTr="00E94073">
        <w:trPr>
          <w:cantSplit/>
          <w:trHeight w:val="60"/>
        </w:trPr>
        <w:tc>
          <w:tcPr>
            <w:tcW w:w="1869" w:type="dxa"/>
          </w:tcPr>
          <w:p w14:paraId="2A62CDBC" w14:textId="77777777" w:rsidR="00621D74" w:rsidRDefault="00621D74">
            <w:pPr>
              <w:pStyle w:val="TableSideHeading"/>
            </w:pPr>
          </w:p>
        </w:tc>
        <w:tc>
          <w:tcPr>
            <w:tcW w:w="624" w:type="dxa"/>
          </w:tcPr>
          <w:p w14:paraId="2B7B7A0B" w14:textId="77777777" w:rsidR="00621D74" w:rsidRDefault="00621D74">
            <w:pPr>
              <w:pStyle w:val="TableText"/>
            </w:pPr>
          </w:p>
        </w:tc>
        <w:tc>
          <w:tcPr>
            <w:tcW w:w="624" w:type="dxa"/>
          </w:tcPr>
          <w:p w14:paraId="3B05BC2E" w14:textId="77777777" w:rsidR="00621D74" w:rsidRDefault="00621D74">
            <w:pPr>
              <w:pStyle w:val="TableText"/>
            </w:pPr>
          </w:p>
        </w:tc>
        <w:tc>
          <w:tcPr>
            <w:tcW w:w="624" w:type="dxa"/>
          </w:tcPr>
          <w:p w14:paraId="661115CA" w14:textId="77777777" w:rsidR="00621D74" w:rsidRDefault="00621D74">
            <w:pPr>
              <w:pStyle w:val="TableText"/>
            </w:pPr>
          </w:p>
        </w:tc>
        <w:tc>
          <w:tcPr>
            <w:tcW w:w="5900" w:type="dxa"/>
            <w:gridSpan w:val="6"/>
          </w:tcPr>
          <w:p w14:paraId="387DC17F" w14:textId="429BB984" w:rsidR="00621D74" w:rsidRDefault="004D4A19" w:rsidP="0047350C">
            <w:pPr>
              <w:pStyle w:val="TableBlock"/>
            </w:pPr>
            <w:r>
              <w:rPr>
                <w:rFonts w:hint="cs"/>
                <w:rtl/>
              </w:rPr>
              <w:t xml:space="preserve">(א1) </w:t>
            </w:r>
            <w:r w:rsidR="0047350C">
              <w:rPr>
                <w:rFonts w:hint="cs"/>
                <w:rtl/>
              </w:rPr>
              <w:t>החייב יציב שלט במקום בולט שיכלול פרטים לגבי אופן מימוש הזכאות;</w:t>
            </w:r>
          </w:p>
        </w:tc>
      </w:tr>
      <w:tr w:rsidR="0047350C" w14:paraId="5067B706" w14:textId="77777777" w:rsidTr="00E94073">
        <w:trPr>
          <w:cantSplit/>
          <w:trHeight w:val="60"/>
        </w:trPr>
        <w:tc>
          <w:tcPr>
            <w:tcW w:w="1869" w:type="dxa"/>
          </w:tcPr>
          <w:p w14:paraId="1472BFF1" w14:textId="77777777" w:rsidR="0047350C" w:rsidRDefault="0047350C">
            <w:pPr>
              <w:pStyle w:val="TableSideHeading"/>
            </w:pPr>
          </w:p>
        </w:tc>
        <w:tc>
          <w:tcPr>
            <w:tcW w:w="624" w:type="dxa"/>
          </w:tcPr>
          <w:p w14:paraId="113A2E56" w14:textId="77777777" w:rsidR="0047350C" w:rsidRDefault="0047350C" w:rsidP="0047350C">
            <w:pPr>
              <w:pStyle w:val="TableText"/>
            </w:pPr>
          </w:p>
        </w:tc>
        <w:tc>
          <w:tcPr>
            <w:tcW w:w="624" w:type="dxa"/>
          </w:tcPr>
          <w:p w14:paraId="00104C0C" w14:textId="77777777" w:rsidR="0047350C" w:rsidRDefault="0047350C">
            <w:pPr>
              <w:pStyle w:val="TableText"/>
            </w:pPr>
          </w:p>
        </w:tc>
        <w:tc>
          <w:tcPr>
            <w:tcW w:w="624" w:type="dxa"/>
          </w:tcPr>
          <w:p w14:paraId="0C4221AF" w14:textId="77777777" w:rsidR="0047350C" w:rsidRDefault="0047350C">
            <w:pPr>
              <w:pStyle w:val="TableText"/>
            </w:pPr>
          </w:p>
        </w:tc>
        <w:tc>
          <w:tcPr>
            <w:tcW w:w="5900" w:type="dxa"/>
            <w:gridSpan w:val="6"/>
          </w:tcPr>
          <w:p w14:paraId="6012E854" w14:textId="3E0FC220" w:rsidR="0047350C" w:rsidRDefault="0047350C">
            <w:pPr>
              <w:pStyle w:val="TableBlock"/>
              <w:rPr>
                <w:rtl/>
              </w:rPr>
            </w:pPr>
            <w:r>
              <w:rPr>
                <w:rFonts w:hint="cs"/>
                <w:rtl/>
              </w:rPr>
              <w:t>(א2) זכאי לשירות ללא המתנה בתור</w:t>
            </w:r>
            <w:r w:rsidR="006455C5">
              <w:rPr>
                <w:rFonts w:hint="cs"/>
                <w:rtl/>
              </w:rPr>
              <w:t xml:space="preserve"> מי שהוא אחד מאלה:</w:t>
            </w:r>
          </w:p>
        </w:tc>
      </w:tr>
      <w:tr w:rsidR="00621D74" w14:paraId="26C0DF24" w14:textId="77777777" w:rsidTr="00E94073">
        <w:trPr>
          <w:cantSplit/>
          <w:trHeight w:val="60"/>
        </w:trPr>
        <w:tc>
          <w:tcPr>
            <w:tcW w:w="1869" w:type="dxa"/>
          </w:tcPr>
          <w:p w14:paraId="61AE96C4" w14:textId="77777777" w:rsidR="00621D74" w:rsidRPr="004D4A19" w:rsidRDefault="00621D74">
            <w:pPr>
              <w:pStyle w:val="TableSideHeading"/>
            </w:pPr>
          </w:p>
        </w:tc>
        <w:tc>
          <w:tcPr>
            <w:tcW w:w="624" w:type="dxa"/>
          </w:tcPr>
          <w:p w14:paraId="01DAD82A" w14:textId="77777777" w:rsidR="00621D74" w:rsidRDefault="00621D74">
            <w:pPr>
              <w:pStyle w:val="TableText"/>
            </w:pPr>
          </w:p>
        </w:tc>
        <w:tc>
          <w:tcPr>
            <w:tcW w:w="624" w:type="dxa"/>
          </w:tcPr>
          <w:p w14:paraId="43A37982" w14:textId="77777777" w:rsidR="00621D74" w:rsidRDefault="00621D74">
            <w:pPr>
              <w:pStyle w:val="TableText"/>
            </w:pPr>
          </w:p>
        </w:tc>
        <w:tc>
          <w:tcPr>
            <w:tcW w:w="624" w:type="dxa"/>
          </w:tcPr>
          <w:p w14:paraId="7179372F" w14:textId="77777777" w:rsidR="00621D74" w:rsidRDefault="00621D74">
            <w:pPr>
              <w:pStyle w:val="TableText"/>
            </w:pPr>
          </w:p>
        </w:tc>
        <w:tc>
          <w:tcPr>
            <w:tcW w:w="624" w:type="dxa"/>
          </w:tcPr>
          <w:p w14:paraId="5246F771" w14:textId="77777777" w:rsidR="00621D74" w:rsidRDefault="00621D74">
            <w:pPr>
              <w:pStyle w:val="TableText"/>
            </w:pPr>
          </w:p>
        </w:tc>
        <w:tc>
          <w:tcPr>
            <w:tcW w:w="5276" w:type="dxa"/>
            <w:gridSpan w:val="5"/>
          </w:tcPr>
          <w:p w14:paraId="078F7D26" w14:textId="77777777" w:rsidR="00621D74" w:rsidRDefault="00621D74" w:rsidP="00621D74">
            <w:pPr>
              <w:pStyle w:val="ListParagraph"/>
              <w:numPr>
                <w:ilvl w:val="0"/>
                <w:numId w:val="21"/>
              </w:numPr>
              <w:spacing w:line="360" w:lineRule="auto"/>
            </w:pPr>
            <w:r w:rsidRPr="00621D74">
              <w:rPr>
                <w:rFonts w:ascii="Arial" w:eastAsia="Arial Unicode MS" w:hAnsi="Arial"/>
                <w:snapToGrid w:val="0"/>
                <w:sz w:val="20"/>
                <w:szCs w:val="26"/>
                <w:rtl/>
              </w:rPr>
              <w:t xml:space="preserve">אדם עם מוגבלות שנקבעה לו נכות רפואית בשיעור 50 אחוזים או יותר לפי חוק הביטוח הלאומי </w:t>
            </w:r>
            <w:r w:rsidR="0017642F">
              <w:rPr>
                <w:rFonts w:ascii="Arial" w:eastAsia="Arial Unicode MS" w:hAnsi="Arial" w:hint="cs"/>
                <w:snapToGrid w:val="0"/>
                <w:sz w:val="20"/>
                <w:szCs w:val="26"/>
                <w:rtl/>
              </w:rPr>
              <w:t xml:space="preserve"> [</w:t>
            </w:r>
            <w:r w:rsidR="0017642F" w:rsidRPr="0017642F">
              <w:rPr>
                <w:rFonts w:ascii="Arial" w:eastAsia="Arial Unicode MS" w:hAnsi="Arial" w:hint="cs"/>
                <w:snapToGrid w:val="0"/>
                <w:sz w:val="20"/>
                <w:szCs w:val="26"/>
                <w:rtl/>
              </w:rPr>
              <w:t>נוסח משולב], התשנ"ה-1995</w:t>
            </w:r>
            <w:r w:rsidR="0017642F">
              <w:rPr>
                <w:rStyle w:val="FootnoteReference"/>
                <w:rFonts w:ascii="Arial" w:eastAsia="Arial Unicode MS" w:hAnsi="Arial"/>
                <w:snapToGrid w:val="0"/>
                <w:sz w:val="20"/>
                <w:szCs w:val="26"/>
                <w:rtl/>
              </w:rPr>
              <w:footnoteReference w:id="2"/>
            </w:r>
            <w:r w:rsidR="0017642F">
              <w:rPr>
                <w:rFonts w:ascii="Arial" w:eastAsia="Arial Unicode MS" w:hAnsi="Arial" w:hint="cs"/>
                <w:snapToGrid w:val="0"/>
                <w:sz w:val="20"/>
                <w:szCs w:val="26"/>
                <w:rtl/>
              </w:rPr>
              <w:t xml:space="preserve"> (להלן </w:t>
            </w:r>
            <w:r w:rsidR="0017642F">
              <w:rPr>
                <w:rFonts w:ascii="Arial" w:eastAsia="Arial Unicode MS" w:hAnsi="Arial"/>
                <w:snapToGrid w:val="0"/>
                <w:sz w:val="20"/>
                <w:szCs w:val="26"/>
                <w:rtl/>
              </w:rPr>
              <w:t>–</w:t>
            </w:r>
            <w:r w:rsidR="0017642F">
              <w:rPr>
                <w:rFonts w:ascii="Arial" w:eastAsia="Arial Unicode MS" w:hAnsi="Arial" w:hint="cs"/>
                <w:snapToGrid w:val="0"/>
                <w:sz w:val="20"/>
                <w:szCs w:val="26"/>
                <w:rtl/>
              </w:rPr>
              <w:t xml:space="preserve"> חוק הביטוח הלאומי) </w:t>
            </w:r>
            <w:r w:rsidRPr="00621D74">
              <w:rPr>
                <w:rFonts w:ascii="Arial" w:eastAsia="Arial Unicode MS" w:hAnsi="Arial"/>
                <w:snapToGrid w:val="0"/>
                <w:sz w:val="20"/>
                <w:szCs w:val="26"/>
                <w:rtl/>
              </w:rPr>
              <w:t>או חוק הנכים (תגמולים ושיקום)</w:t>
            </w:r>
            <w:r w:rsidR="00402EE1">
              <w:rPr>
                <w:rFonts w:ascii="Arial" w:eastAsia="Arial Unicode MS" w:hAnsi="Arial" w:hint="cs"/>
                <w:snapToGrid w:val="0"/>
                <w:sz w:val="20"/>
                <w:szCs w:val="26"/>
                <w:rtl/>
              </w:rPr>
              <w:t>, התשי"ט-1959 [נוסח משולב]</w:t>
            </w:r>
            <w:r w:rsidR="00402EE1">
              <w:rPr>
                <w:rStyle w:val="FootnoteReference"/>
                <w:rFonts w:ascii="Arial" w:eastAsia="Arial Unicode MS" w:hAnsi="Arial"/>
                <w:snapToGrid w:val="0"/>
                <w:sz w:val="20"/>
                <w:szCs w:val="26"/>
                <w:rtl/>
              </w:rPr>
              <w:footnoteReference w:id="3"/>
            </w:r>
            <w:r w:rsidR="00402EE1">
              <w:rPr>
                <w:rFonts w:ascii="Arial" w:eastAsia="Arial Unicode MS" w:hAnsi="Arial" w:hint="cs"/>
                <w:snapToGrid w:val="0"/>
                <w:sz w:val="20"/>
                <w:szCs w:val="26"/>
                <w:rtl/>
              </w:rPr>
              <w:t xml:space="preserve"> (להלן </w:t>
            </w:r>
            <w:r w:rsidR="00402EE1">
              <w:rPr>
                <w:rFonts w:ascii="Arial" w:eastAsia="Arial Unicode MS" w:hAnsi="Arial"/>
                <w:snapToGrid w:val="0"/>
                <w:sz w:val="20"/>
                <w:szCs w:val="26"/>
                <w:rtl/>
              </w:rPr>
              <w:t>–</w:t>
            </w:r>
            <w:r w:rsidR="00402EE1">
              <w:rPr>
                <w:rFonts w:ascii="Arial" w:eastAsia="Arial Unicode MS" w:hAnsi="Arial" w:hint="cs"/>
                <w:snapToGrid w:val="0"/>
                <w:sz w:val="20"/>
                <w:szCs w:val="26"/>
                <w:rtl/>
              </w:rPr>
              <w:t xml:space="preserve"> חוק הנכים (תגמולים ושיקום))</w:t>
            </w:r>
            <w:r w:rsidRPr="00621D74">
              <w:rPr>
                <w:rFonts w:ascii="Arial" w:eastAsia="Arial Unicode MS" w:hAnsi="Arial"/>
                <w:snapToGrid w:val="0"/>
                <w:sz w:val="20"/>
                <w:szCs w:val="26"/>
                <w:rtl/>
              </w:rPr>
              <w:t>;</w:t>
            </w:r>
          </w:p>
        </w:tc>
      </w:tr>
      <w:tr w:rsidR="0047350C" w14:paraId="5A55C185" w14:textId="77777777" w:rsidTr="00E94073">
        <w:trPr>
          <w:cantSplit/>
          <w:trHeight w:val="60"/>
        </w:trPr>
        <w:tc>
          <w:tcPr>
            <w:tcW w:w="1869" w:type="dxa"/>
          </w:tcPr>
          <w:p w14:paraId="5DFC7086" w14:textId="77777777" w:rsidR="0047350C" w:rsidRPr="004D4A19" w:rsidRDefault="0047350C">
            <w:pPr>
              <w:pStyle w:val="TableSideHeading"/>
            </w:pPr>
          </w:p>
        </w:tc>
        <w:tc>
          <w:tcPr>
            <w:tcW w:w="624" w:type="dxa"/>
          </w:tcPr>
          <w:p w14:paraId="3875AFD4" w14:textId="77777777" w:rsidR="0047350C" w:rsidRDefault="0047350C" w:rsidP="0047350C">
            <w:pPr>
              <w:pStyle w:val="TableText"/>
            </w:pPr>
          </w:p>
        </w:tc>
        <w:tc>
          <w:tcPr>
            <w:tcW w:w="624" w:type="dxa"/>
          </w:tcPr>
          <w:p w14:paraId="15E7281E" w14:textId="77777777" w:rsidR="0047350C" w:rsidRDefault="0047350C">
            <w:pPr>
              <w:pStyle w:val="TableText"/>
            </w:pPr>
          </w:p>
        </w:tc>
        <w:tc>
          <w:tcPr>
            <w:tcW w:w="624" w:type="dxa"/>
          </w:tcPr>
          <w:p w14:paraId="5FFAC10B" w14:textId="77777777" w:rsidR="0047350C" w:rsidRDefault="0047350C">
            <w:pPr>
              <w:pStyle w:val="TableText"/>
            </w:pPr>
          </w:p>
        </w:tc>
        <w:tc>
          <w:tcPr>
            <w:tcW w:w="624" w:type="dxa"/>
          </w:tcPr>
          <w:p w14:paraId="31CC9B0A" w14:textId="77777777" w:rsidR="0047350C" w:rsidRDefault="0047350C">
            <w:pPr>
              <w:pStyle w:val="TableText"/>
            </w:pPr>
          </w:p>
        </w:tc>
        <w:tc>
          <w:tcPr>
            <w:tcW w:w="5276" w:type="dxa"/>
            <w:gridSpan w:val="5"/>
          </w:tcPr>
          <w:p w14:paraId="11649285" w14:textId="60D4095E" w:rsidR="0047350C" w:rsidRPr="00621D74" w:rsidRDefault="0047350C" w:rsidP="00621D74">
            <w:pPr>
              <w:pStyle w:val="ListParagraph"/>
              <w:numPr>
                <w:ilvl w:val="0"/>
                <w:numId w:val="21"/>
              </w:numPr>
              <w:spacing w:line="360" w:lineRule="auto"/>
              <w:rPr>
                <w:rFonts w:ascii="Arial" w:eastAsia="Arial Unicode MS" w:hAnsi="Arial"/>
                <w:snapToGrid w:val="0"/>
                <w:sz w:val="20"/>
                <w:szCs w:val="26"/>
                <w:rtl/>
              </w:rPr>
            </w:pPr>
            <w:r w:rsidRPr="0013754D">
              <w:rPr>
                <w:rFonts w:ascii="Arial" w:eastAsia="Arial Unicode MS" w:hAnsi="Arial" w:hint="cs"/>
                <w:snapToGrid w:val="0"/>
                <w:sz w:val="20"/>
                <w:szCs w:val="26"/>
                <w:rtl/>
              </w:rPr>
              <w:t>אדם המקבל קצבת שירותים מיוחדים או זכאי לקצבת סיעוד לפי חוק הביטוח הלאומי</w:t>
            </w:r>
            <w:r>
              <w:rPr>
                <w:rFonts w:ascii="Arial" w:eastAsia="Arial Unicode MS" w:hAnsi="Arial" w:hint="cs"/>
                <w:snapToGrid w:val="0"/>
                <w:sz w:val="20"/>
                <w:szCs w:val="26"/>
                <w:rtl/>
              </w:rPr>
              <w:t>;</w:t>
            </w:r>
          </w:p>
        </w:tc>
      </w:tr>
      <w:tr w:rsidR="0047350C" w14:paraId="1BBEB82E" w14:textId="77777777" w:rsidTr="00E94073">
        <w:trPr>
          <w:cantSplit/>
          <w:trHeight w:val="60"/>
        </w:trPr>
        <w:tc>
          <w:tcPr>
            <w:tcW w:w="1869" w:type="dxa"/>
          </w:tcPr>
          <w:p w14:paraId="5A4CB0AD" w14:textId="77777777" w:rsidR="0047350C" w:rsidRPr="004D4A19" w:rsidRDefault="0047350C">
            <w:pPr>
              <w:pStyle w:val="TableSideHeading"/>
            </w:pPr>
          </w:p>
        </w:tc>
        <w:tc>
          <w:tcPr>
            <w:tcW w:w="624" w:type="dxa"/>
          </w:tcPr>
          <w:p w14:paraId="4B22C9B8" w14:textId="77777777" w:rsidR="0047350C" w:rsidRDefault="0047350C" w:rsidP="0047350C">
            <w:pPr>
              <w:pStyle w:val="TableText"/>
            </w:pPr>
          </w:p>
        </w:tc>
        <w:tc>
          <w:tcPr>
            <w:tcW w:w="624" w:type="dxa"/>
          </w:tcPr>
          <w:p w14:paraId="10A16EC4" w14:textId="77777777" w:rsidR="0047350C" w:rsidRDefault="0047350C">
            <w:pPr>
              <w:pStyle w:val="TableText"/>
            </w:pPr>
          </w:p>
        </w:tc>
        <w:tc>
          <w:tcPr>
            <w:tcW w:w="624" w:type="dxa"/>
          </w:tcPr>
          <w:p w14:paraId="1C22FD4B" w14:textId="77777777" w:rsidR="0047350C" w:rsidRDefault="0047350C">
            <w:pPr>
              <w:pStyle w:val="TableText"/>
            </w:pPr>
          </w:p>
        </w:tc>
        <w:tc>
          <w:tcPr>
            <w:tcW w:w="624" w:type="dxa"/>
          </w:tcPr>
          <w:p w14:paraId="055BE08B" w14:textId="77777777" w:rsidR="0047350C" w:rsidRDefault="0047350C">
            <w:pPr>
              <w:pStyle w:val="TableText"/>
            </w:pPr>
          </w:p>
        </w:tc>
        <w:tc>
          <w:tcPr>
            <w:tcW w:w="5276" w:type="dxa"/>
            <w:gridSpan w:val="5"/>
          </w:tcPr>
          <w:p w14:paraId="30C1F41D" w14:textId="7EAC86A9" w:rsidR="0047350C" w:rsidRPr="0013754D" w:rsidRDefault="0047350C" w:rsidP="00621D74">
            <w:pPr>
              <w:pStyle w:val="ListParagraph"/>
              <w:numPr>
                <w:ilvl w:val="0"/>
                <w:numId w:val="21"/>
              </w:numPr>
              <w:spacing w:line="360" w:lineRule="auto"/>
              <w:rPr>
                <w:rFonts w:ascii="Arial" w:eastAsia="Arial Unicode MS" w:hAnsi="Arial"/>
                <w:snapToGrid w:val="0"/>
                <w:sz w:val="20"/>
                <w:szCs w:val="26"/>
                <w:rtl/>
              </w:rPr>
            </w:pPr>
            <w:r w:rsidRPr="0013754D">
              <w:rPr>
                <w:rFonts w:ascii="Arial" w:eastAsia="Arial Unicode MS" w:hAnsi="Arial" w:hint="cs"/>
                <w:snapToGrid w:val="0"/>
                <w:sz w:val="20"/>
                <w:szCs w:val="26"/>
                <w:rtl/>
              </w:rPr>
              <w:t xml:space="preserve">אדם </w:t>
            </w:r>
            <w:r w:rsidRPr="0013754D">
              <w:rPr>
                <w:rFonts w:ascii="Arial" w:eastAsia="Arial Unicode MS" w:hAnsi="Arial"/>
                <w:snapToGrid w:val="0"/>
                <w:sz w:val="20"/>
                <w:szCs w:val="26"/>
                <w:rtl/>
              </w:rPr>
              <w:t>הזכאי לליווי סיעודי לפי תקנה 24 לתקנות הנכים (טיפול רפואי), התשי"ד-1954</w:t>
            </w:r>
            <w:r w:rsidRPr="0013754D">
              <w:rPr>
                <w:rFonts w:ascii="Arial" w:eastAsia="Arial Unicode MS" w:hAnsi="Arial" w:hint="cs"/>
                <w:snapToGrid w:val="0"/>
                <w:sz w:val="20"/>
                <w:szCs w:val="26"/>
                <w:rtl/>
              </w:rPr>
              <w:t>,</w:t>
            </w:r>
            <w:r w:rsidRPr="0013754D">
              <w:rPr>
                <w:rFonts w:ascii="Arial" w:eastAsia="Arial Unicode MS" w:hAnsi="Arial"/>
                <w:snapToGrid w:val="0"/>
                <w:sz w:val="20"/>
                <w:szCs w:val="26"/>
                <w:vertAlign w:val="superscript"/>
                <w:rtl/>
              </w:rPr>
              <w:footnoteReference w:id="4"/>
            </w:r>
            <w:r w:rsidRPr="0013754D">
              <w:rPr>
                <w:rFonts w:ascii="Arial" w:eastAsia="Arial Unicode MS" w:hAnsi="Arial" w:hint="cs"/>
                <w:snapToGrid w:val="0"/>
                <w:sz w:val="20"/>
                <w:szCs w:val="26"/>
                <w:rtl/>
              </w:rPr>
              <w:t xml:space="preserve"> או שנקבעה לו </w:t>
            </w:r>
            <w:r w:rsidRPr="0013754D">
              <w:rPr>
                <w:rFonts w:ascii="Arial" w:eastAsia="Arial Unicode MS" w:hAnsi="Arial"/>
                <w:snapToGrid w:val="0"/>
                <w:sz w:val="20"/>
                <w:szCs w:val="26"/>
                <w:rtl/>
              </w:rPr>
              <w:t>דרגת נכות מיוחדת בשיעור 100%+ בהתאם לתקנות הנכים (כללים לקביעת דרגת נכות מיוחדת), התשכ"ו-1965</w:t>
            </w:r>
            <w:r w:rsidRPr="0013754D">
              <w:rPr>
                <w:rFonts w:ascii="Arial" w:eastAsia="Arial Unicode MS" w:hAnsi="Arial" w:hint="cs"/>
                <w:snapToGrid w:val="0"/>
                <w:sz w:val="20"/>
                <w:szCs w:val="26"/>
                <w:rtl/>
              </w:rPr>
              <w:t>;</w:t>
            </w:r>
            <w:r w:rsidRPr="0013754D">
              <w:rPr>
                <w:rFonts w:ascii="Arial" w:eastAsia="Arial Unicode MS" w:hAnsi="Arial"/>
                <w:snapToGrid w:val="0"/>
                <w:sz w:val="20"/>
                <w:szCs w:val="26"/>
                <w:vertAlign w:val="superscript"/>
                <w:rtl/>
              </w:rPr>
              <w:footnoteReference w:id="5"/>
            </w:r>
          </w:p>
        </w:tc>
      </w:tr>
      <w:tr w:rsidR="00621D74" w14:paraId="2C304D29" w14:textId="77777777" w:rsidTr="00E94073">
        <w:trPr>
          <w:cantSplit/>
          <w:trHeight w:val="60"/>
        </w:trPr>
        <w:tc>
          <w:tcPr>
            <w:tcW w:w="1869" w:type="dxa"/>
          </w:tcPr>
          <w:p w14:paraId="503D34BB" w14:textId="77777777" w:rsidR="00621D74" w:rsidRDefault="00621D74">
            <w:pPr>
              <w:pStyle w:val="TableSideHeading"/>
            </w:pPr>
          </w:p>
        </w:tc>
        <w:tc>
          <w:tcPr>
            <w:tcW w:w="624" w:type="dxa"/>
          </w:tcPr>
          <w:p w14:paraId="571CBCCE" w14:textId="77777777" w:rsidR="00621D74" w:rsidRDefault="00621D74" w:rsidP="00621D74">
            <w:pPr>
              <w:pStyle w:val="TableText"/>
            </w:pPr>
          </w:p>
        </w:tc>
        <w:tc>
          <w:tcPr>
            <w:tcW w:w="624" w:type="dxa"/>
          </w:tcPr>
          <w:p w14:paraId="048400A2" w14:textId="77777777" w:rsidR="00621D74" w:rsidRDefault="00621D74">
            <w:pPr>
              <w:pStyle w:val="TableText"/>
            </w:pPr>
          </w:p>
        </w:tc>
        <w:tc>
          <w:tcPr>
            <w:tcW w:w="624" w:type="dxa"/>
          </w:tcPr>
          <w:p w14:paraId="5718F981" w14:textId="77777777" w:rsidR="00621D74" w:rsidRDefault="00621D74">
            <w:pPr>
              <w:pStyle w:val="TableText"/>
            </w:pPr>
          </w:p>
        </w:tc>
        <w:tc>
          <w:tcPr>
            <w:tcW w:w="624" w:type="dxa"/>
          </w:tcPr>
          <w:p w14:paraId="74289B9B" w14:textId="77777777" w:rsidR="00621D74" w:rsidRDefault="00621D74">
            <w:pPr>
              <w:pStyle w:val="TableText"/>
            </w:pPr>
          </w:p>
        </w:tc>
        <w:tc>
          <w:tcPr>
            <w:tcW w:w="5276" w:type="dxa"/>
            <w:gridSpan w:val="5"/>
          </w:tcPr>
          <w:p w14:paraId="54E69007" w14:textId="77777777" w:rsidR="00621D74" w:rsidRPr="00621D74" w:rsidRDefault="00621D74" w:rsidP="0017642F">
            <w:pPr>
              <w:pStyle w:val="ListParagraph"/>
              <w:numPr>
                <w:ilvl w:val="0"/>
                <w:numId w:val="21"/>
              </w:numPr>
              <w:jc w:val="left"/>
              <w:rPr>
                <w:rFonts w:ascii="Arial" w:eastAsia="Arial Unicode MS" w:hAnsi="Arial"/>
                <w:snapToGrid w:val="0"/>
                <w:sz w:val="20"/>
                <w:szCs w:val="26"/>
                <w:rtl/>
              </w:rPr>
            </w:pPr>
            <w:r w:rsidRPr="00621D74">
              <w:rPr>
                <w:rFonts w:ascii="Arial" w:eastAsia="Arial Unicode MS" w:hAnsi="Arial"/>
                <w:snapToGrid w:val="0"/>
                <w:sz w:val="20"/>
                <w:szCs w:val="26"/>
                <w:rtl/>
              </w:rPr>
              <w:t xml:space="preserve">ילד נכה </w:t>
            </w:r>
            <w:r w:rsidR="00B065F4">
              <w:rPr>
                <w:rFonts w:ascii="Arial" w:eastAsia="Arial Unicode MS" w:hAnsi="Arial" w:hint="cs"/>
                <w:snapToGrid w:val="0"/>
                <w:sz w:val="20"/>
                <w:szCs w:val="26"/>
                <w:rtl/>
              </w:rPr>
              <w:t>כ</w:t>
            </w:r>
            <w:r w:rsidR="00791AC9">
              <w:rPr>
                <w:rFonts w:ascii="Arial" w:eastAsia="Arial Unicode MS" w:hAnsi="Arial" w:hint="cs"/>
                <w:snapToGrid w:val="0"/>
                <w:sz w:val="20"/>
                <w:szCs w:val="26"/>
                <w:rtl/>
              </w:rPr>
              <w:t>הגדרתו ב</w:t>
            </w:r>
            <w:r w:rsidRPr="00621D74">
              <w:rPr>
                <w:rFonts w:ascii="Arial" w:eastAsia="Arial Unicode MS" w:hAnsi="Arial"/>
                <w:snapToGrid w:val="0"/>
                <w:sz w:val="20"/>
                <w:szCs w:val="26"/>
                <w:rtl/>
              </w:rPr>
              <w:t>חוק הביטוח הלאומי;</w:t>
            </w:r>
          </w:p>
        </w:tc>
      </w:tr>
      <w:tr w:rsidR="00621D74" w14:paraId="604A3A24" w14:textId="77777777" w:rsidTr="00E94073">
        <w:trPr>
          <w:cantSplit/>
          <w:trHeight w:val="60"/>
        </w:trPr>
        <w:tc>
          <w:tcPr>
            <w:tcW w:w="1869" w:type="dxa"/>
          </w:tcPr>
          <w:p w14:paraId="540CF7F5" w14:textId="77777777" w:rsidR="00621D74" w:rsidRDefault="00621D74">
            <w:pPr>
              <w:pStyle w:val="TableSideHeading"/>
            </w:pPr>
          </w:p>
        </w:tc>
        <w:tc>
          <w:tcPr>
            <w:tcW w:w="624" w:type="dxa"/>
          </w:tcPr>
          <w:p w14:paraId="10915895" w14:textId="77777777" w:rsidR="00621D74" w:rsidRDefault="00621D74" w:rsidP="00621D74">
            <w:pPr>
              <w:pStyle w:val="TableText"/>
            </w:pPr>
          </w:p>
        </w:tc>
        <w:tc>
          <w:tcPr>
            <w:tcW w:w="624" w:type="dxa"/>
          </w:tcPr>
          <w:p w14:paraId="33001928" w14:textId="77777777" w:rsidR="00621D74" w:rsidRDefault="00621D74">
            <w:pPr>
              <w:pStyle w:val="TableText"/>
            </w:pPr>
          </w:p>
        </w:tc>
        <w:tc>
          <w:tcPr>
            <w:tcW w:w="624" w:type="dxa"/>
          </w:tcPr>
          <w:p w14:paraId="25D1E2E2" w14:textId="77777777" w:rsidR="00621D74" w:rsidRDefault="00621D74">
            <w:pPr>
              <w:pStyle w:val="TableText"/>
            </w:pPr>
          </w:p>
        </w:tc>
        <w:tc>
          <w:tcPr>
            <w:tcW w:w="624" w:type="dxa"/>
          </w:tcPr>
          <w:p w14:paraId="7FF9B949" w14:textId="77777777" w:rsidR="00621D74" w:rsidRDefault="00621D74">
            <w:pPr>
              <w:pStyle w:val="TableText"/>
            </w:pPr>
          </w:p>
        </w:tc>
        <w:tc>
          <w:tcPr>
            <w:tcW w:w="5276" w:type="dxa"/>
            <w:gridSpan w:val="5"/>
          </w:tcPr>
          <w:p w14:paraId="2A4626C6" w14:textId="77777777" w:rsidR="00621D74" w:rsidRPr="00621D74" w:rsidRDefault="00306EBA" w:rsidP="004D4A19">
            <w:pPr>
              <w:pStyle w:val="ListParagraph"/>
              <w:numPr>
                <w:ilvl w:val="0"/>
                <w:numId w:val="21"/>
              </w:numPr>
              <w:spacing w:line="360" w:lineRule="auto"/>
              <w:rPr>
                <w:rFonts w:ascii="Arial" w:eastAsia="Arial Unicode MS" w:hAnsi="Arial"/>
                <w:snapToGrid w:val="0"/>
                <w:sz w:val="20"/>
                <w:szCs w:val="26"/>
                <w:rtl/>
              </w:rPr>
            </w:pPr>
            <w:r>
              <w:rPr>
                <w:rFonts w:ascii="Arial" w:eastAsia="Arial Unicode MS" w:hAnsi="Arial" w:hint="cs"/>
                <w:snapToGrid w:val="0"/>
                <w:sz w:val="20"/>
                <w:szCs w:val="26"/>
                <w:rtl/>
              </w:rPr>
              <w:t>אדם</w:t>
            </w:r>
            <w:r w:rsidR="00621D74" w:rsidRPr="00621D74">
              <w:rPr>
                <w:rFonts w:ascii="Arial" w:eastAsia="Arial Unicode MS" w:hAnsi="Arial"/>
                <w:snapToGrid w:val="0"/>
                <w:sz w:val="20"/>
                <w:szCs w:val="26"/>
                <w:rtl/>
              </w:rPr>
              <w:t xml:space="preserve"> שהוכר כזכאי לגמלה חודשית על ידי הרשות לזכויות ניצולי שואה, </w:t>
            </w:r>
            <w:r w:rsidR="004D4A19">
              <w:rPr>
                <w:rFonts w:ascii="Arial" w:eastAsia="Arial Unicode MS" w:hAnsi="Arial" w:hint="cs"/>
                <w:snapToGrid w:val="0"/>
                <w:sz w:val="20"/>
                <w:szCs w:val="26"/>
                <w:rtl/>
              </w:rPr>
              <w:t>לפי</w:t>
            </w:r>
            <w:r w:rsidR="00621D74" w:rsidRPr="00621D74">
              <w:rPr>
                <w:rFonts w:ascii="Arial" w:eastAsia="Arial Unicode MS" w:hAnsi="Arial"/>
                <w:snapToGrid w:val="0"/>
                <w:sz w:val="20"/>
                <w:szCs w:val="26"/>
                <w:rtl/>
              </w:rPr>
              <w:t xml:space="preserve"> חוק נכי רדיפות הנאצים</w:t>
            </w:r>
            <w:r>
              <w:rPr>
                <w:rFonts w:ascii="Arial" w:eastAsia="Arial Unicode MS" w:hAnsi="Arial" w:hint="cs"/>
                <w:snapToGrid w:val="0"/>
                <w:sz w:val="20"/>
                <w:szCs w:val="26"/>
                <w:rtl/>
              </w:rPr>
              <w:t>, תשי"ז-1957,</w:t>
            </w:r>
            <w:r>
              <w:rPr>
                <w:rStyle w:val="FootnoteReference"/>
                <w:rFonts w:ascii="Arial" w:eastAsia="Arial Unicode MS" w:hAnsi="Arial"/>
                <w:snapToGrid w:val="0"/>
                <w:sz w:val="20"/>
                <w:szCs w:val="26"/>
                <w:rtl/>
              </w:rPr>
              <w:footnoteReference w:id="6"/>
            </w:r>
            <w:r w:rsidR="00621D74" w:rsidRPr="00621D74">
              <w:rPr>
                <w:rFonts w:ascii="Arial" w:eastAsia="Arial Unicode MS" w:hAnsi="Arial"/>
                <w:snapToGrid w:val="0"/>
                <w:sz w:val="20"/>
                <w:szCs w:val="26"/>
                <w:rtl/>
              </w:rPr>
              <w:t xml:space="preserve"> או חוק נכי המלחמה בנאצים</w:t>
            </w:r>
            <w:r>
              <w:rPr>
                <w:rFonts w:ascii="Arial" w:eastAsia="Arial Unicode MS" w:hAnsi="Arial" w:hint="cs"/>
                <w:snapToGrid w:val="0"/>
                <w:sz w:val="20"/>
                <w:szCs w:val="26"/>
                <w:rtl/>
              </w:rPr>
              <w:t>, התשי"ד-1954</w:t>
            </w:r>
            <w:r w:rsidR="00621D74" w:rsidRPr="00621D74">
              <w:rPr>
                <w:rFonts w:ascii="Arial" w:eastAsia="Arial Unicode MS" w:hAnsi="Arial"/>
                <w:snapToGrid w:val="0"/>
                <w:sz w:val="20"/>
                <w:szCs w:val="26"/>
                <w:rtl/>
              </w:rPr>
              <w:t>.</w:t>
            </w:r>
            <w:r>
              <w:rPr>
                <w:rStyle w:val="FootnoteReference"/>
                <w:rFonts w:ascii="Arial" w:eastAsia="Arial Unicode MS" w:hAnsi="Arial"/>
                <w:snapToGrid w:val="0"/>
                <w:sz w:val="20"/>
                <w:szCs w:val="26"/>
                <w:rtl/>
              </w:rPr>
              <w:footnoteReference w:id="7"/>
            </w:r>
            <w:r w:rsidR="00621D74" w:rsidRPr="00621D74">
              <w:rPr>
                <w:rFonts w:ascii="Arial" w:eastAsia="Arial Unicode MS" w:hAnsi="Arial"/>
                <w:snapToGrid w:val="0"/>
                <w:sz w:val="20"/>
                <w:szCs w:val="26"/>
                <w:rtl/>
              </w:rPr>
              <w:t xml:space="preserve"> וכן ניצול שואה שמקבל קצבה חודשית ממדינת חוץ בשל רדיפות הנאצים.</w:t>
            </w:r>
          </w:p>
        </w:tc>
      </w:tr>
      <w:tr w:rsidR="004D4A19" w14:paraId="53F8CC61" w14:textId="77777777" w:rsidTr="00E94073">
        <w:trPr>
          <w:cantSplit/>
          <w:trHeight w:val="60"/>
        </w:trPr>
        <w:tc>
          <w:tcPr>
            <w:tcW w:w="1869" w:type="dxa"/>
          </w:tcPr>
          <w:p w14:paraId="1AA56A78" w14:textId="77777777" w:rsidR="004D4A19" w:rsidRDefault="004D4A19">
            <w:pPr>
              <w:pStyle w:val="TableSideHeading"/>
            </w:pPr>
          </w:p>
        </w:tc>
        <w:tc>
          <w:tcPr>
            <w:tcW w:w="624" w:type="dxa"/>
          </w:tcPr>
          <w:p w14:paraId="56F24CF1" w14:textId="77777777" w:rsidR="004D4A19" w:rsidRDefault="004D4A19">
            <w:pPr>
              <w:pStyle w:val="TableText"/>
            </w:pPr>
          </w:p>
        </w:tc>
        <w:tc>
          <w:tcPr>
            <w:tcW w:w="624" w:type="dxa"/>
          </w:tcPr>
          <w:p w14:paraId="287EA11A" w14:textId="77777777" w:rsidR="004D4A19" w:rsidRDefault="004D4A19">
            <w:pPr>
              <w:pStyle w:val="TableText"/>
            </w:pPr>
          </w:p>
        </w:tc>
        <w:tc>
          <w:tcPr>
            <w:tcW w:w="6524" w:type="dxa"/>
            <w:gridSpan w:val="7"/>
          </w:tcPr>
          <w:p w14:paraId="1CF73D56" w14:textId="77777777" w:rsidR="004D4A19" w:rsidRDefault="004D4A19" w:rsidP="004D4A19">
            <w:pPr>
              <w:pStyle w:val="TableBlock"/>
              <w:numPr>
                <w:ilvl w:val="0"/>
                <w:numId w:val="20"/>
              </w:numPr>
              <w:tabs>
                <w:tab w:val="left" w:pos="624"/>
              </w:tabs>
            </w:pPr>
            <w:r>
              <w:rPr>
                <w:rFonts w:hint="cs"/>
                <w:rtl/>
              </w:rPr>
              <w:t>במקום תקנת משנה (ב) יבוא:</w:t>
            </w:r>
          </w:p>
        </w:tc>
      </w:tr>
      <w:tr w:rsidR="004D4A19" w14:paraId="762E1B51" w14:textId="77777777" w:rsidTr="00E94073">
        <w:trPr>
          <w:cantSplit/>
          <w:trHeight w:val="60"/>
        </w:trPr>
        <w:tc>
          <w:tcPr>
            <w:tcW w:w="1869" w:type="dxa"/>
          </w:tcPr>
          <w:p w14:paraId="0AC591AA" w14:textId="77777777" w:rsidR="004D4A19" w:rsidRDefault="004D4A19">
            <w:pPr>
              <w:pStyle w:val="TableSideHeading"/>
            </w:pPr>
          </w:p>
        </w:tc>
        <w:tc>
          <w:tcPr>
            <w:tcW w:w="624" w:type="dxa"/>
          </w:tcPr>
          <w:p w14:paraId="5871D3DD" w14:textId="77777777" w:rsidR="004D4A19" w:rsidRDefault="004D4A19">
            <w:pPr>
              <w:pStyle w:val="TableText"/>
            </w:pPr>
          </w:p>
        </w:tc>
        <w:tc>
          <w:tcPr>
            <w:tcW w:w="624" w:type="dxa"/>
          </w:tcPr>
          <w:p w14:paraId="21D9AC77" w14:textId="77777777" w:rsidR="004D4A19" w:rsidRDefault="004D4A19">
            <w:pPr>
              <w:pStyle w:val="TableText"/>
            </w:pPr>
          </w:p>
        </w:tc>
        <w:tc>
          <w:tcPr>
            <w:tcW w:w="624" w:type="dxa"/>
          </w:tcPr>
          <w:p w14:paraId="36BA0947" w14:textId="77777777" w:rsidR="004D4A19" w:rsidRDefault="004D4A19">
            <w:pPr>
              <w:pStyle w:val="TableText"/>
            </w:pPr>
          </w:p>
        </w:tc>
        <w:tc>
          <w:tcPr>
            <w:tcW w:w="5900" w:type="dxa"/>
            <w:gridSpan w:val="6"/>
          </w:tcPr>
          <w:p w14:paraId="1A02BD8A" w14:textId="77777777" w:rsidR="004D4A19" w:rsidRDefault="004D4A19" w:rsidP="004D4A19">
            <w:pPr>
              <w:pStyle w:val="TableBlock"/>
            </w:pPr>
            <w:r>
              <w:rPr>
                <w:rFonts w:hint="cs"/>
                <w:rtl/>
              </w:rPr>
              <w:t xml:space="preserve">(ב) </w:t>
            </w:r>
            <w:r w:rsidRPr="004D4A19">
              <w:rPr>
                <w:rFonts w:hint="cs"/>
                <w:rtl/>
              </w:rPr>
              <w:t>המוסד לביטוח לאומי, הרשות לזכויות ניצולי שואה במשרד האוצר, משרד העבודה, הרווחה והשירותים החברתיים, והאגף לשיקום במשרד הביטחון ינפיקו תעודות כאמור בתקנת משנה (א) ובתקנה 14 לא יאוחר מ-6 חודשים מיום התחילה; בתעודה כאמור לא יפורט סוג המוגבלות או היקפה.</w:t>
            </w:r>
          </w:p>
        </w:tc>
      </w:tr>
      <w:tr w:rsidR="00FE3263" w14:paraId="2487DF29" w14:textId="77777777" w:rsidTr="00E94073">
        <w:trPr>
          <w:cantSplit/>
          <w:trHeight w:val="60"/>
        </w:trPr>
        <w:tc>
          <w:tcPr>
            <w:tcW w:w="1869" w:type="dxa"/>
          </w:tcPr>
          <w:p w14:paraId="6F6B2A62" w14:textId="77777777" w:rsidR="00FE3263" w:rsidRDefault="00FE3263">
            <w:pPr>
              <w:pStyle w:val="TableSideHeading"/>
            </w:pPr>
          </w:p>
        </w:tc>
        <w:tc>
          <w:tcPr>
            <w:tcW w:w="624" w:type="dxa"/>
          </w:tcPr>
          <w:p w14:paraId="7D45E9C8" w14:textId="77777777" w:rsidR="00FE3263" w:rsidRDefault="00FE3263" w:rsidP="00FE3263">
            <w:pPr>
              <w:pStyle w:val="TableText"/>
            </w:pPr>
          </w:p>
        </w:tc>
        <w:tc>
          <w:tcPr>
            <w:tcW w:w="624" w:type="dxa"/>
          </w:tcPr>
          <w:p w14:paraId="7E26AB58" w14:textId="77777777" w:rsidR="00FE3263" w:rsidRDefault="00FE3263">
            <w:pPr>
              <w:pStyle w:val="TableText"/>
            </w:pPr>
          </w:p>
        </w:tc>
        <w:tc>
          <w:tcPr>
            <w:tcW w:w="624" w:type="dxa"/>
          </w:tcPr>
          <w:p w14:paraId="2C883B64" w14:textId="77777777" w:rsidR="00FE3263" w:rsidRDefault="00FE3263">
            <w:pPr>
              <w:pStyle w:val="TableText"/>
            </w:pPr>
          </w:p>
        </w:tc>
        <w:tc>
          <w:tcPr>
            <w:tcW w:w="5900" w:type="dxa"/>
            <w:gridSpan w:val="6"/>
          </w:tcPr>
          <w:p w14:paraId="015B3EE1" w14:textId="5E32327F" w:rsidR="00FE3263" w:rsidRDefault="00FE3263" w:rsidP="00FE3263">
            <w:pPr>
              <w:pStyle w:val="TableBlock"/>
              <w:rPr>
                <w:rtl/>
              </w:rPr>
            </w:pPr>
            <w:r>
              <w:rPr>
                <w:rFonts w:hint="cs"/>
                <w:rtl/>
              </w:rPr>
              <w:t>(ב1) משרד העבודה, הרווחה והשירותים החברתיים ינפיק תעודות כאמור בתקנת משנה (ב) לאדם עיוור שזכאי להתאמה לפי תקנה 13 או 14 בהתאם למידע שנמצא בידיו.</w:t>
            </w:r>
          </w:p>
        </w:tc>
      </w:tr>
      <w:tr w:rsidR="009931F4" w14:paraId="0223B2B4" w14:textId="77777777" w:rsidTr="00E94073">
        <w:trPr>
          <w:cantSplit/>
          <w:trHeight w:val="60"/>
        </w:trPr>
        <w:tc>
          <w:tcPr>
            <w:tcW w:w="1869" w:type="dxa"/>
          </w:tcPr>
          <w:p w14:paraId="4AB8A29A" w14:textId="332FF8F0" w:rsidR="009931F4" w:rsidRDefault="009931F4" w:rsidP="00026299">
            <w:pPr>
              <w:pStyle w:val="TableSideHeading"/>
              <w:keepLines w:val="0"/>
            </w:pPr>
            <w:bookmarkStart w:id="15" w:name="_Toc532909206"/>
            <w:bookmarkStart w:id="16" w:name="_Toc20151150"/>
            <w:bookmarkStart w:id="17" w:name="_Toc20151168"/>
            <w:bookmarkStart w:id="18" w:name="_Toc20307918"/>
            <w:r w:rsidRPr="005835CB">
              <w:rPr>
                <w:rFonts w:hint="cs"/>
                <w:rtl/>
              </w:rPr>
              <w:t>תיקון תקנה 86</w:t>
            </w:r>
            <w:bookmarkEnd w:id="15"/>
            <w:bookmarkEnd w:id="16"/>
            <w:bookmarkEnd w:id="17"/>
            <w:bookmarkEnd w:id="18"/>
          </w:p>
        </w:tc>
        <w:tc>
          <w:tcPr>
            <w:tcW w:w="624" w:type="dxa"/>
          </w:tcPr>
          <w:p w14:paraId="2842DAF8" w14:textId="77777777" w:rsidR="009931F4" w:rsidRDefault="009931F4" w:rsidP="00DF5C9E">
            <w:pPr>
              <w:pStyle w:val="TableText"/>
              <w:keepLines w:val="0"/>
              <w:numPr>
                <w:ilvl w:val="0"/>
                <w:numId w:val="4"/>
              </w:numPr>
            </w:pPr>
          </w:p>
        </w:tc>
        <w:tc>
          <w:tcPr>
            <w:tcW w:w="7148" w:type="dxa"/>
            <w:gridSpan w:val="8"/>
          </w:tcPr>
          <w:p w14:paraId="27D71A96" w14:textId="51F02CEF" w:rsidR="009931F4" w:rsidRPr="00C34DE2" w:rsidRDefault="00B12397" w:rsidP="00B12397">
            <w:pPr>
              <w:pStyle w:val="TableBlock"/>
              <w:keepLines w:val="0"/>
            </w:pPr>
            <w:r>
              <w:rPr>
                <w:rFonts w:hint="cs"/>
                <w:rtl/>
              </w:rPr>
              <w:t>תקנת משנה</w:t>
            </w:r>
            <w:r w:rsidR="009931F4">
              <w:rPr>
                <w:rFonts w:hint="cs"/>
                <w:rtl/>
              </w:rPr>
              <w:t xml:space="preserve"> 86(ו)(2) </w:t>
            </w:r>
            <w:r w:rsidR="009931F4">
              <w:rPr>
                <w:rtl/>
              </w:rPr>
              <w:t>–</w:t>
            </w:r>
            <w:r w:rsidR="009931F4">
              <w:rPr>
                <w:rFonts w:hint="cs"/>
                <w:rtl/>
              </w:rPr>
              <w:t xml:space="preserve"> </w:t>
            </w:r>
            <w:r w:rsidR="009931F4" w:rsidRPr="009E225D">
              <w:rPr>
                <w:rFonts w:hint="cs"/>
                <w:rtl/>
              </w:rPr>
              <w:t>תימחק</w:t>
            </w:r>
          </w:p>
        </w:tc>
      </w:tr>
      <w:tr w:rsidR="009931F4" w14:paraId="6C4B7AB6" w14:textId="77777777" w:rsidTr="00E94073">
        <w:trPr>
          <w:cantSplit/>
          <w:trHeight w:val="60"/>
        </w:trPr>
        <w:tc>
          <w:tcPr>
            <w:tcW w:w="1869" w:type="dxa"/>
          </w:tcPr>
          <w:p w14:paraId="2E8B5E6F" w14:textId="6F06DA70" w:rsidR="009931F4" w:rsidRDefault="009931F4" w:rsidP="00026299">
            <w:pPr>
              <w:pStyle w:val="TableSideHeading"/>
              <w:keepLines w:val="0"/>
            </w:pPr>
            <w:bookmarkStart w:id="19" w:name="_Toc532909207"/>
            <w:bookmarkStart w:id="20" w:name="_Toc20151151"/>
            <w:bookmarkStart w:id="21" w:name="_Toc20151169"/>
            <w:bookmarkStart w:id="22" w:name="_Toc20307919"/>
            <w:r w:rsidRPr="005835CB">
              <w:rPr>
                <w:rFonts w:hint="cs"/>
                <w:rtl/>
              </w:rPr>
              <w:t>הוספת תקנה 86א</w:t>
            </w:r>
            <w:bookmarkEnd w:id="19"/>
            <w:bookmarkEnd w:id="20"/>
            <w:bookmarkEnd w:id="21"/>
            <w:bookmarkEnd w:id="22"/>
          </w:p>
        </w:tc>
        <w:tc>
          <w:tcPr>
            <w:tcW w:w="624" w:type="dxa"/>
          </w:tcPr>
          <w:p w14:paraId="33B2A743" w14:textId="77777777" w:rsidR="009931F4" w:rsidRDefault="009931F4" w:rsidP="009931F4">
            <w:pPr>
              <w:pStyle w:val="TableText"/>
              <w:keepLines w:val="0"/>
              <w:numPr>
                <w:ilvl w:val="0"/>
                <w:numId w:val="4"/>
              </w:numPr>
            </w:pPr>
          </w:p>
        </w:tc>
        <w:tc>
          <w:tcPr>
            <w:tcW w:w="7148" w:type="dxa"/>
            <w:gridSpan w:val="8"/>
          </w:tcPr>
          <w:p w14:paraId="67C78523" w14:textId="77777777" w:rsidR="009931F4" w:rsidRPr="00C34DE2" w:rsidRDefault="009931F4" w:rsidP="00026299">
            <w:pPr>
              <w:pStyle w:val="TableBlock"/>
              <w:keepLines w:val="0"/>
            </w:pPr>
            <w:r>
              <w:rPr>
                <w:rFonts w:hint="cs"/>
                <w:rtl/>
              </w:rPr>
              <w:t>אחרי תקנה 86 יבוא:</w:t>
            </w:r>
          </w:p>
        </w:tc>
      </w:tr>
      <w:tr w:rsidR="009931F4" w14:paraId="23ED51BA" w14:textId="77777777" w:rsidTr="00E94073">
        <w:trPr>
          <w:cantSplit/>
          <w:trHeight w:val="60"/>
        </w:trPr>
        <w:tc>
          <w:tcPr>
            <w:tcW w:w="1869" w:type="dxa"/>
          </w:tcPr>
          <w:p w14:paraId="26AF80A5" w14:textId="77777777" w:rsidR="009931F4" w:rsidRDefault="009931F4">
            <w:pPr>
              <w:pStyle w:val="TableSideHeading"/>
              <w:keepLines w:val="0"/>
            </w:pPr>
          </w:p>
        </w:tc>
        <w:tc>
          <w:tcPr>
            <w:tcW w:w="624" w:type="dxa"/>
          </w:tcPr>
          <w:p w14:paraId="35E6FC67" w14:textId="77777777" w:rsidR="009931F4" w:rsidRDefault="009931F4">
            <w:pPr>
              <w:pStyle w:val="TableText"/>
              <w:keepLines w:val="0"/>
            </w:pPr>
          </w:p>
        </w:tc>
        <w:tc>
          <w:tcPr>
            <w:tcW w:w="1872" w:type="dxa"/>
            <w:gridSpan w:val="3"/>
          </w:tcPr>
          <w:p w14:paraId="796DD9AD" w14:textId="77777777" w:rsidR="009931F4" w:rsidRDefault="009931F4">
            <w:pPr>
              <w:pStyle w:val="TableInnerSideHeading"/>
            </w:pPr>
            <w:r>
              <w:rPr>
                <w:rFonts w:hint="cs"/>
                <w:rtl/>
              </w:rPr>
              <w:t>מתן שירות הכרחי במקום נגיש</w:t>
            </w:r>
          </w:p>
        </w:tc>
        <w:tc>
          <w:tcPr>
            <w:tcW w:w="624" w:type="dxa"/>
          </w:tcPr>
          <w:p w14:paraId="0644AF06" w14:textId="77777777" w:rsidR="009931F4" w:rsidRDefault="009931F4">
            <w:pPr>
              <w:pStyle w:val="TableText"/>
            </w:pPr>
            <w:r>
              <w:rPr>
                <w:rFonts w:hint="cs"/>
                <w:rtl/>
              </w:rPr>
              <w:t>86א</w:t>
            </w:r>
          </w:p>
        </w:tc>
        <w:tc>
          <w:tcPr>
            <w:tcW w:w="4652" w:type="dxa"/>
            <w:gridSpan w:val="4"/>
          </w:tcPr>
          <w:p w14:paraId="13FB1F52" w14:textId="77777777" w:rsidR="009931F4" w:rsidRDefault="009931F4" w:rsidP="009931F4">
            <w:pPr>
              <w:pStyle w:val="TableBlock"/>
              <w:numPr>
                <w:ilvl w:val="0"/>
                <w:numId w:val="24"/>
              </w:numPr>
              <w:tabs>
                <w:tab w:val="left" w:pos="624"/>
              </w:tabs>
            </w:pPr>
            <w:r>
              <w:rPr>
                <w:rFonts w:hint="cs"/>
                <w:rtl/>
              </w:rPr>
              <w:t>בתקנה זו</w:t>
            </w:r>
          </w:p>
        </w:tc>
      </w:tr>
      <w:tr w:rsidR="009931F4" w14:paraId="62F11FF9" w14:textId="77777777" w:rsidTr="00E94073">
        <w:trPr>
          <w:cantSplit/>
          <w:trHeight w:val="60"/>
        </w:trPr>
        <w:tc>
          <w:tcPr>
            <w:tcW w:w="1869" w:type="dxa"/>
          </w:tcPr>
          <w:p w14:paraId="6265043E" w14:textId="77777777" w:rsidR="009931F4" w:rsidRDefault="009931F4">
            <w:pPr>
              <w:pStyle w:val="TableSideHeading"/>
            </w:pPr>
          </w:p>
        </w:tc>
        <w:tc>
          <w:tcPr>
            <w:tcW w:w="624" w:type="dxa"/>
          </w:tcPr>
          <w:p w14:paraId="586096CA" w14:textId="77777777" w:rsidR="009931F4" w:rsidRDefault="009931F4">
            <w:pPr>
              <w:pStyle w:val="TableText"/>
            </w:pPr>
          </w:p>
        </w:tc>
        <w:tc>
          <w:tcPr>
            <w:tcW w:w="624" w:type="dxa"/>
          </w:tcPr>
          <w:p w14:paraId="0C859C2D" w14:textId="77777777" w:rsidR="009931F4" w:rsidRDefault="009931F4">
            <w:pPr>
              <w:pStyle w:val="TableText"/>
            </w:pPr>
          </w:p>
        </w:tc>
        <w:tc>
          <w:tcPr>
            <w:tcW w:w="624" w:type="dxa"/>
          </w:tcPr>
          <w:p w14:paraId="7CC52730" w14:textId="77777777" w:rsidR="009931F4" w:rsidRDefault="009931F4">
            <w:pPr>
              <w:pStyle w:val="TableText"/>
            </w:pPr>
          </w:p>
        </w:tc>
        <w:tc>
          <w:tcPr>
            <w:tcW w:w="624" w:type="dxa"/>
          </w:tcPr>
          <w:p w14:paraId="327D4929" w14:textId="77777777" w:rsidR="009931F4" w:rsidRDefault="009931F4">
            <w:pPr>
              <w:pStyle w:val="TableText"/>
            </w:pPr>
          </w:p>
        </w:tc>
        <w:tc>
          <w:tcPr>
            <w:tcW w:w="624" w:type="dxa"/>
          </w:tcPr>
          <w:p w14:paraId="0B6C72F4" w14:textId="77777777" w:rsidR="009931F4" w:rsidRDefault="009931F4">
            <w:pPr>
              <w:pStyle w:val="TableText"/>
            </w:pPr>
          </w:p>
        </w:tc>
        <w:tc>
          <w:tcPr>
            <w:tcW w:w="4652" w:type="dxa"/>
            <w:gridSpan w:val="4"/>
          </w:tcPr>
          <w:p w14:paraId="5A82B1F0" w14:textId="7074CB53" w:rsidR="009931F4" w:rsidRPr="009931F4" w:rsidRDefault="006B43C8" w:rsidP="006B43C8">
            <w:pPr>
              <w:pStyle w:val="TableBlockOutdent"/>
            </w:pPr>
            <w:r>
              <w:rPr>
                <w:rtl/>
              </w:rPr>
              <w:t>"</w:t>
            </w:r>
            <w:r>
              <w:rPr>
                <w:rFonts w:hint="cs"/>
                <w:rtl/>
              </w:rPr>
              <w:t xml:space="preserve">אחראי למתן שירות הכרחי" </w:t>
            </w:r>
            <w:r>
              <w:rPr>
                <w:rtl/>
              </w:rPr>
              <w:t>–</w:t>
            </w:r>
            <w:r w:rsidR="00806032">
              <w:rPr>
                <w:rFonts w:hint="cs"/>
                <w:rtl/>
              </w:rPr>
              <w:t xml:space="preserve"> כל אחד מאלה:</w:t>
            </w:r>
          </w:p>
        </w:tc>
      </w:tr>
      <w:tr w:rsidR="00D4171A" w14:paraId="38619FEF" w14:textId="77777777" w:rsidTr="00E94073">
        <w:trPr>
          <w:cantSplit/>
          <w:trHeight w:val="60"/>
        </w:trPr>
        <w:tc>
          <w:tcPr>
            <w:tcW w:w="1869" w:type="dxa"/>
          </w:tcPr>
          <w:p w14:paraId="085FE15F" w14:textId="77777777" w:rsidR="00D4171A" w:rsidRDefault="00D4171A">
            <w:pPr>
              <w:pStyle w:val="TableSideHeading"/>
            </w:pPr>
          </w:p>
        </w:tc>
        <w:tc>
          <w:tcPr>
            <w:tcW w:w="624" w:type="dxa"/>
          </w:tcPr>
          <w:p w14:paraId="6155B9E0" w14:textId="77777777" w:rsidR="00D4171A" w:rsidRDefault="00D4171A">
            <w:pPr>
              <w:pStyle w:val="TableText"/>
            </w:pPr>
          </w:p>
        </w:tc>
        <w:tc>
          <w:tcPr>
            <w:tcW w:w="624" w:type="dxa"/>
          </w:tcPr>
          <w:p w14:paraId="30C8A157" w14:textId="77777777" w:rsidR="00D4171A" w:rsidRDefault="00D4171A">
            <w:pPr>
              <w:pStyle w:val="TableText"/>
            </w:pPr>
          </w:p>
        </w:tc>
        <w:tc>
          <w:tcPr>
            <w:tcW w:w="624" w:type="dxa"/>
          </w:tcPr>
          <w:p w14:paraId="1BE24DB7" w14:textId="77777777" w:rsidR="00D4171A" w:rsidRDefault="00D4171A">
            <w:pPr>
              <w:pStyle w:val="TableText"/>
            </w:pPr>
          </w:p>
        </w:tc>
        <w:tc>
          <w:tcPr>
            <w:tcW w:w="624" w:type="dxa"/>
          </w:tcPr>
          <w:p w14:paraId="53CC276B" w14:textId="77777777" w:rsidR="00D4171A" w:rsidRDefault="00D4171A">
            <w:pPr>
              <w:pStyle w:val="TableText"/>
            </w:pPr>
          </w:p>
        </w:tc>
        <w:tc>
          <w:tcPr>
            <w:tcW w:w="624" w:type="dxa"/>
          </w:tcPr>
          <w:p w14:paraId="5A1107B7" w14:textId="77777777" w:rsidR="00D4171A" w:rsidRDefault="00D4171A">
            <w:pPr>
              <w:pStyle w:val="TableText"/>
            </w:pPr>
          </w:p>
        </w:tc>
        <w:tc>
          <w:tcPr>
            <w:tcW w:w="624" w:type="dxa"/>
          </w:tcPr>
          <w:p w14:paraId="5A61DB22" w14:textId="77777777" w:rsidR="00D4171A" w:rsidRDefault="00D4171A" w:rsidP="00D4171A">
            <w:pPr>
              <w:pStyle w:val="TableText"/>
              <w:numPr>
                <w:ilvl w:val="0"/>
                <w:numId w:val="39"/>
              </w:numPr>
              <w:tabs>
                <w:tab w:val="left" w:pos="624"/>
              </w:tabs>
              <w:jc w:val="both"/>
            </w:pPr>
          </w:p>
        </w:tc>
        <w:tc>
          <w:tcPr>
            <w:tcW w:w="4028" w:type="dxa"/>
            <w:gridSpan w:val="3"/>
          </w:tcPr>
          <w:p w14:paraId="77209784" w14:textId="27942410" w:rsidR="00D4171A" w:rsidRPr="00D4171A" w:rsidRDefault="00D4171A">
            <w:pPr>
              <w:pStyle w:val="TableBlock"/>
            </w:pPr>
            <w:r>
              <w:rPr>
                <w:rFonts w:hint="cs"/>
                <w:rtl/>
              </w:rPr>
              <w:t xml:space="preserve">משרד ממשלתי </w:t>
            </w:r>
            <w:r w:rsidRPr="001D3AAF">
              <w:rPr>
                <w:rFonts w:hint="cs"/>
                <w:rtl/>
              </w:rPr>
              <w:t>לרבות יחידותיו ויחידות הסמך שלו;</w:t>
            </w:r>
          </w:p>
        </w:tc>
      </w:tr>
      <w:tr w:rsidR="00D4171A" w14:paraId="17A0C720" w14:textId="77777777" w:rsidTr="00E94073">
        <w:trPr>
          <w:cantSplit/>
          <w:trHeight w:val="60"/>
        </w:trPr>
        <w:tc>
          <w:tcPr>
            <w:tcW w:w="1869" w:type="dxa"/>
          </w:tcPr>
          <w:p w14:paraId="732CC30B" w14:textId="77777777" w:rsidR="00D4171A" w:rsidRDefault="00D4171A">
            <w:pPr>
              <w:pStyle w:val="TableSideHeading"/>
            </w:pPr>
          </w:p>
        </w:tc>
        <w:tc>
          <w:tcPr>
            <w:tcW w:w="624" w:type="dxa"/>
          </w:tcPr>
          <w:p w14:paraId="1743624D" w14:textId="77777777" w:rsidR="00D4171A" w:rsidRDefault="00D4171A" w:rsidP="00D4171A">
            <w:pPr>
              <w:pStyle w:val="TableText"/>
            </w:pPr>
          </w:p>
        </w:tc>
        <w:tc>
          <w:tcPr>
            <w:tcW w:w="624" w:type="dxa"/>
          </w:tcPr>
          <w:p w14:paraId="0F1EEDA1" w14:textId="77777777" w:rsidR="00D4171A" w:rsidRDefault="00D4171A">
            <w:pPr>
              <w:pStyle w:val="TableText"/>
            </w:pPr>
          </w:p>
        </w:tc>
        <w:tc>
          <w:tcPr>
            <w:tcW w:w="624" w:type="dxa"/>
          </w:tcPr>
          <w:p w14:paraId="308F022C" w14:textId="77777777" w:rsidR="00D4171A" w:rsidRDefault="00D4171A">
            <w:pPr>
              <w:pStyle w:val="TableText"/>
            </w:pPr>
          </w:p>
        </w:tc>
        <w:tc>
          <w:tcPr>
            <w:tcW w:w="624" w:type="dxa"/>
          </w:tcPr>
          <w:p w14:paraId="79530CCD" w14:textId="77777777" w:rsidR="00D4171A" w:rsidRDefault="00D4171A">
            <w:pPr>
              <w:pStyle w:val="TableText"/>
            </w:pPr>
          </w:p>
        </w:tc>
        <w:tc>
          <w:tcPr>
            <w:tcW w:w="624" w:type="dxa"/>
          </w:tcPr>
          <w:p w14:paraId="021F04DF" w14:textId="77777777" w:rsidR="00D4171A" w:rsidRDefault="00D4171A">
            <w:pPr>
              <w:pStyle w:val="TableText"/>
            </w:pPr>
          </w:p>
        </w:tc>
        <w:tc>
          <w:tcPr>
            <w:tcW w:w="624" w:type="dxa"/>
          </w:tcPr>
          <w:p w14:paraId="7B0A7DCE" w14:textId="77777777" w:rsidR="00D4171A" w:rsidRDefault="00D4171A" w:rsidP="00D4171A">
            <w:pPr>
              <w:pStyle w:val="TableText"/>
              <w:numPr>
                <w:ilvl w:val="0"/>
                <w:numId w:val="39"/>
              </w:numPr>
              <w:tabs>
                <w:tab w:val="left" w:pos="624"/>
              </w:tabs>
              <w:jc w:val="both"/>
            </w:pPr>
          </w:p>
        </w:tc>
        <w:tc>
          <w:tcPr>
            <w:tcW w:w="4028" w:type="dxa"/>
            <w:gridSpan w:val="3"/>
          </w:tcPr>
          <w:p w14:paraId="5C893AC7" w14:textId="47389791" w:rsidR="00D4171A" w:rsidRDefault="00D4171A">
            <w:pPr>
              <w:pStyle w:val="TableBlock"/>
              <w:rPr>
                <w:rtl/>
              </w:rPr>
            </w:pPr>
            <w:r w:rsidRPr="001D3AAF">
              <w:rPr>
                <w:rFonts w:hint="cs"/>
                <w:rtl/>
              </w:rPr>
              <w:t>משטרת ישראל</w:t>
            </w:r>
            <w:r>
              <w:rPr>
                <w:rFonts w:hint="cs"/>
                <w:rtl/>
              </w:rPr>
              <w:t>;</w:t>
            </w:r>
          </w:p>
        </w:tc>
      </w:tr>
      <w:tr w:rsidR="00D4171A" w14:paraId="33B06F19" w14:textId="77777777" w:rsidTr="00E94073">
        <w:trPr>
          <w:cantSplit/>
          <w:trHeight w:val="60"/>
        </w:trPr>
        <w:tc>
          <w:tcPr>
            <w:tcW w:w="1869" w:type="dxa"/>
          </w:tcPr>
          <w:p w14:paraId="4E7D3453" w14:textId="77777777" w:rsidR="00D4171A" w:rsidRDefault="00D4171A">
            <w:pPr>
              <w:pStyle w:val="TableSideHeading"/>
            </w:pPr>
          </w:p>
        </w:tc>
        <w:tc>
          <w:tcPr>
            <w:tcW w:w="624" w:type="dxa"/>
          </w:tcPr>
          <w:p w14:paraId="344D4585" w14:textId="77777777" w:rsidR="00D4171A" w:rsidRDefault="00D4171A" w:rsidP="00D4171A">
            <w:pPr>
              <w:pStyle w:val="TableText"/>
            </w:pPr>
          </w:p>
        </w:tc>
        <w:tc>
          <w:tcPr>
            <w:tcW w:w="624" w:type="dxa"/>
          </w:tcPr>
          <w:p w14:paraId="1370D257" w14:textId="77777777" w:rsidR="00D4171A" w:rsidRDefault="00D4171A">
            <w:pPr>
              <w:pStyle w:val="TableText"/>
            </w:pPr>
          </w:p>
        </w:tc>
        <w:tc>
          <w:tcPr>
            <w:tcW w:w="624" w:type="dxa"/>
          </w:tcPr>
          <w:p w14:paraId="6A4210F8" w14:textId="77777777" w:rsidR="00D4171A" w:rsidRDefault="00D4171A">
            <w:pPr>
              <w:pStyle w:val="TableText"/>
            </w:pPr>
          </w:p>
        </w:tc>
        <w:tc>
          <w:tcPr>
            <w:tcW w:w="624" w:type="dxa"/>
          </w:tcPr>
          <w:p w14:paraId="0391F13C" w14:textId="77777777" w:rsidR="00D4171A" w:rsidRDefault="00D4171A">
            <w:pPr>
              <w:pStyle w:val="TableText"/>
            </w:pPr>
          </w:p>
        </w:tc>
        <w:tc>
          <w:tcPr>
            <w:tcW w:w="624" w:type="dxa"/>
          </w:tcPr>
          <w:p w14:paraId="10E036EF" w14:textId="77777777" w:rsidR="00D4171A" w:rsidRDefault="00D4171A">
            <w:pPr>
              <w:pStyle w:val="TableText"/>
            </w:pPr>
          </w:p>
        </w:tc>
        <w:tc>
          <w:tcPr>
            <w:tcW w:w="624" w:type="dxa"/>
          </w:tcPr>
          <w:p w14:paraId="04A821C8" w14:textId="77777777" w:rsidR="00D4171A" w:rsidRDefault="00D4171A" w:rsidP="00D4171A">
            <w:pPr>
              <w:pStyle w:val="TableText"/>
              <w:numPr>
                <w:ilvl w:val="0"/>
                <w:numId w:val="39"/>
              </w:numPr>
              <w:tabs>
                <w:tab w:val="left" w:pos="624"/>
              </w:tabs>
              <w:jc w:val="both"/>
            </w:pPr>
          </w:p>
        </w:tc>
        <w:tc>
          <w:tcPr>
            <w:tcW w:w="4028" w:type="dxa"/>
            <w:gridSpan w:val="3"/>
          </w:tcPr>
          <w:p w14:paraId="4124968D" w14:textId="4C420F59" w:rsidR="00D4171A" w:rsidRDefault="00D4171A">
            <w:pPr>
              <w:pStyle w:val="TableBlock"/>
              <w:rPr>
                <w:rtl/>
              </w:rPr>
            </w:pPr>
            <w:r>
              <w:rPr>
                <w:rFonts w:hint="cs"/>
                <w:rtl/>
              </w:rPr>
              <w:t>שירות בתי הסוהר;</w:t>
            </w:r>
          </w:p>
        </w:tc>
      </w:tr>
      <w:tr w:rsidR="00D4171A" w14:paraId="6A56BC8D" w14:textId="77777777" w:rsidTr="00E94073">
        <w:trPr>
          <w:cantSplit/>
          <w:trHeight w:val="60"/>
        </w:trPr>
        <w:tc>
          <w:tcPr>
            <w:tcW w:w="1869" w:type="dxa"/>
          </w:tcPr>
          <w:p w14:paraId="21A9B643" w14:textId="77777777" w:rsidR="00D4171A" w:rsidRDefault="00D4171A">
            <w:pPr>
              <w:pStyle w:val="TableSideHeading"/>
            </w:pPr>
          </w:p>
        </w:tc>
        <w:tc>
          <w:tcPr>
            <w:tcW w:w="624" w:type="dxa"/>
          </w:tcPr>
          <w:p w14:paraId="06C1E496" w14:textId="77777777" w:rsidR="00D4171A" w:rsidRDefault="00D4171A" w:rsidP="00D4171A">
            <w:pPr>
              <w:pStyle w:val="TableText"/>
            </w:pPr>
          </w:p>
        </w:tc>
        <w:tc>
          <w:tcPr>
            <w:tcW w:w="624" w:type="dxa"/>
          </w:tcPr>
          <w:p w14:paraId="576B0377" w14:textId="77777777" w:rsidR="00D4171A" w:rsidRDefault="00D4171A">
            <w:pPr>
              <w:pStyle w:val="TableText"/>
            </w:pPr>
          </w:p>
        </w:tc>
        <w:tc>
          <w:tcPr>
            <w:tcW w:w="624" w:type="dxa"/>
          </w:tcPr>
          <w:p w14:paraId="3F70D62E" w14:textId="77777777" w:rsidR="00D4171A" w:rsidRDefault="00D4171A">
            <w:pPr>
              <w:pStyle w:val="TableText"/>
            </w:pPr>
          </w:p>
        </w:tc>
        <w:tc>
          <w:tcPr>
            <w:tcW w:w="624" w:type="dxa"/>
          </w:tcPr>
          <w:p w14:paraId="66D57667" w14:textId="77777777" w:rsidR="00D4171A" w:rsidRDefault="00D4171A">
            <w:pPr>
              <w:pStyle w:val="TableText"/>
            </w:pPr>
          </w:p>
        </w:tc>
        <w:tc>
          <w:tcPr>
            <w:tcW w:w="624" w:type="dxa"/>
          </w:tcPr>
          <w:p w14:paraId="262C4980" w14:textId="77777777" w:rsidR="00D4171A" w:rsidRDefault="00D4171A">
            <w:pPr>
              <w:pStyle w:val="TableText"/>
            </w:pPr>
          </w:p>
        </w:tc>
        <w:tc>
          <w:tcPr>
            <w:tcW w:w="624" w:type="dxa"/>
          </w:tcPr>
          <w:p w14:paraId="0C0C858D" w14:textId="77777777" w:rsidR="00D4171A" w:rsidRDefault="00D4171A" w:rsidP="00D4171A">
            <w:pPr>
              <w:pStyle w:val="TableText"/>
              <w:numPr>
                <w:ilvl w:val="0"/>
                <w:numId w:val="39"/>
              </w:numPr>
              <w:tabs>
                <w:tab w:val="left" w:pos="624"/>
              </w:tabs>
              <w:jc w:val="both"/>
            </w:pPr>
          </w:p>
        </w:tc>
        <w:tc>
          <w:tcPr>
            <w:tcW w:w="4028" w:type="dxa"/>
            <w:gridSpan w:val="3"/>
          </w:tcPr>
          <w:p w14:paraId="576C21BA" w14:textId="016E4D98" w:rsidR="00D4171A" w:rsidRDefault="00D4171A">
            <w:pPr>
              <w:pStyle w:val="TableBlock"/>
              <w:rPr>
                <w:rtl/>
              </w:rPr>
            </w:pPr>
            <w:r w:rsidRPr="001D3AAF">
              <w:rPr>
                <w:rFonts w:hint="cs"/>
                <w:rtl/>
              </w:rPr>
              <w:t>רשות מקומית;</w:t>
            </w:r>
          </w:p>
        </w:tc>
      </w:tr>
      <w:tr w:rsidR="00D4171A" w14:paraId="2DD5A898" w14:textId="77777777" w:rsidTr="00E94073">
        <w:trPr>
          <w:cantSplit/>
          <w:trHeight w:val="60"/>
        </w:trPr>
        <w:tc>
          <w:tcPr>
            <w:tcW w:w="1869" w:type="dxa"/>
          </w:tcPr>
          <w:p w14:paraId="0386ED3D" w14:textId="77777777" w:rsidR="00D4171A" w:rsidRDefault="00D4171A">
            <w:pPr>
              <w:pStyle w:val="TableSideHeading"/>
            </w:pPr>
          </w:p>
        </w:tc>
        <w:tc>
          <w:tcPr>
            <w:tcW w:w="624" w:type="dxa"/>
          </w:tcPr>
          <w:p w14:paraId="6A47E937" w14:textId="77777777" w:rsidR="00D4171A" w:rsidRDefault="00D4171A" w:rsidP="00D4171A">
            <w:pPr>
              <w:pStyle w:val="TableText"/>
            </w:pPr>
          </w:p>
        </w:tc>
        <w:tc>
          <w:tcPr>
            <w:tcW w:w="624" w:type="dxa"/>
          </w:tcPr>
          <w:p w14:paraId="63CADBB0" w14:textId="77777777" w:rsidR="00D4171A" w:rsidRDefault="00D4171A">
            <w:pPr>
              <w:pStyle w:val="TableText"/>
            </w:pPr>
          </w:p>
        </w:tc>
        <w:tc>
          <w:tcPr>
            <w:tcW w:w="624" w:type="dxa"/>
          </w:tcPr>
          <w:p w14:paraId="785AE0AD" w14:textId="77777777" w:rsidR="00D4171A" w:rsidRDefault="00D4171A">
            <w:pPr>
              <w:pStyle w:val="TableText"/>
            </w:pPr>
          </w:p>
        </w:tc>
        <w:tc>
          <w:tcPr>
            <w:tcW w:w="624" w:type="dxa"/>
          </w:tcPr>
          <w:p w14:paraId="516A42B6" w14:textId="77777777" w:rsidR="00D4171A" w:rsidRDefault="00D4171A">
            <w:pPr>
              <w:pStyle w:val="TableText"/>
            </w:pPr>
          </w:p>
        </w:tc>
        <w:tc>
          <w:tcPr>
            <w:tcW w:w="624" w:type="dxa"/>
          </w:tcPr>
          <w:p w14:paraId="748E0F50" w14:textId="77777777" w:rsidR="00D4171A" w:rsidRDefault="00D4171A">
            <w:pPr>
              <w:pStyle w:val="TableText"/>
            </w:pPr>
          </w:p>
        </w:tc>
        <w:tc>
          <w:tcPr>
            <w:tcW w:w="624" w:type="dxa"/>
          </w:tcPr>
          <w:p w14:paraId="08EE700B" w14:textId="77777777" w:rsidR="00D4171A" w:rsidRDefault="00D4171A" w:rsidP="00D4171A">
            <w:pPr>
              <w:pStyle w:val="TableText"/>
              <w:numPr>
                <w:ilvl w:val="0"/>
                <w:numId w:val="39"/>
              </w:numPr>
              <w:tabs>
                <w:tab w:val="left" w:pos="624"/>
              </w:tabs>
              <w:jc w:val="both"/>
            </w:pPr>
          </w:p>
        </w:tc>
        <w:tc>
          <w:tcPr>
            <w:tcW w:w="4028" w:type="dxa"/>
            <w:gridSpan w:val="3"/>
          </w:tcPr>
          <w:p w14:paraId="3E4D12C3" w14:textId="7B6897D8" w:rsidR="00D4171A" w:rsidRPr="001D3AAF" w:rsidRDefault="00D4171A">
            <w:pPr>
              <w:pStyle w:val="TableBlock"/>
              <w:rPr>
                <w:rtl/>
              </w:rPr>
            </w:pPr>
            <w:r w:rsidRPr="001D3AAF">
              <w:rPr>
                <w:rFonts w:hint="cs"/>
                <w:rtl/>
              </w:rPr>
              <w:t>תאגיד שהוקם בחוק</w:t>
            </w:r>
            <w:r>
              <w:rPr>
                <w:rFonts w:hint="cs"/>
                <w:rtl/>
              </w:rPr>
              <w:t>;</w:t>
            </w:r>
          </w:p>
        </w:tc>
      </w:tr>
      <w:tr w:rsidR="00D4171A" w14:paraId="09C8E40E" w14:textId="77777777" w:rsidTr="00E94073">
        <w:trPr>
          <w:cantSplit/>
          <w:trHeight w:val="60"/>
        </w:trPr>
        <w:tc>
          <w:tcPr>
            <w:tcW w:w="1869" w:type="dxa"/>
          </w:tcPr>
          <w:p w14:paraId="7A13E3CD" w14:textId="77777777" w:rsidR="00D4171A" w:rsidRDefault="00D4171A">
            <w:pPr>
              <w:pStyle w:val="TableSideHeading"/>
            </w:pPr>
          </w:p>
        </w:tc>
        <w:tc>
          <w:tcPr>
            <w:tcW w:w="624" w:type="dxa"/>
          </w:tcPr>
          <w:p w14:paraId="681716DF" w14:textId="77777777" w:rsidR="00D4171A" w:rsidRDefault="00D4171A" w:rsidP="00D4171A">
            <w:pPr>
              <w:pStyle w:val="TableText"/>
            </w:pPr>
          </w:p>
        </w:tc>
        <w:tc>
          <w:tcPr>
            <w:tcW w:w="624" w:type="dxa"/>
          </w:tcPr>
          <w:p w14:paraId="58D55C53" w14:textId="77777777" w:rsidR="00D4171A" w:rsidRDefault="00D4171A">
            <w:pPr>
              <w:pStyle w:val="TableText"/>
            </w:pPr>
          </w:p>
        </w:tc>
        <w:tc>
          <w:tcPr>
            <w:tcW w:w="624" w:type="dxa"/>
          </w:tcPr>
          <w:p w14:paraId="0C43CAE6" w14:textId="77777777" w:rsidR="00D4171A" w:rsidRDefault="00D4171A">
            <w:pPr>
              <w:pStyle w:val="TableText"/>
            </w:pPr>
          </w:p>
        </w:tc>
        <w:tc>
          <w:tcPr>
            <w:tcW w:w="624" w:type="dxa"/>
          </w:tcPr>
          <w:p w14:paraId="1FCB9EDE" w14:textId="77777777" w:rsidR="00D4171A" w:rsidRDefault="00D4171A">
            <w:pPr>
              <w:pStyle w:val="TableText"/>
            </w:pPr>
          </w:p>
        </w:tc>
        <w:tc>
          <w:tcPr>
            <w:tcW w:w="624" w:type="dxa"/>
          </w:tcPr>
          <w:p w14:paraId="619A5ECC" w14:textId="77777777" w:rsidR="00D4171A" w:rsidRDefault="00D4171A">
            <w:pPr>
              <w:pStyle w:val="TableText"/>
            </w:pPr>
          </w:p>
        </w:tc>
        <w:tc>
          <w:tcPr>
            <w:tcW w:w="624" w:type="dxa"/>
          </w:tcPr>
          <w:p w14:paraId="7A33A221" w14:textId="77777777" w:rsidR="00D4171A" w:rsidRDefault="00D4171A" w:rsidP="00D4171A">
            <w:pPr>
              <w:pStyle w:val="TableText"/>
              <w:numPr>
                <w:ilvl w:val="0"/>
                <w:numId w:val="39"/>
              </w:numPr>
              <w:tabs>
                <w:tab w:val="left" w:pos="624"/>
              </w:tabs>
              <w:jc w:val="both"/>
            </w:pPr>
          </w:p>
        </w:tc>
        <w:tc>
          <w:tcPr>
            <w:tcW w:w="4028" w:type="dxa"/>
            <w:gridSpan w:val="3"/>
          </w:tcPr>
          <w:p w14:paraId="29DFCD04" w14:textId="5ABAFAD6" w:rsidR="00D4171A" w:rsidRPr="001D3AAF" w:rsidRDefault="00D4171A">
            <w:pPr>
              <w:pStyle w:val="TableBlock"/>
              <w:rPr>
                <w:rtl/>
              </w:rPr>
            </w:pPr>
            <w:r w:rsidRPr="00956D0C">
              <w:rPr>
                <w:rFonts w:hint="cs"/>
                <w:rtl/>
              </w:rPr>
              <w:t>ההסתדרות הציונית העולמית</w:t>
            </w:r>
            <w:r>
              <w:rPr>
                <w:rFonts w:hint="cs"/>
                <w:rtl/>
              </w:rPr>
              <w:t>;</w:t>
            </w:r>
          </w:p>
        </w:tc>
      </w:tr>
      <w:tr w:rsidR="00D4171A" w14:paraId="65703F22" w14:textId="77777777" w:rsidTr="00E94073">
        <w:trPr>
          <w:cantSplit/>
          <w:trHeight w:val="60"/>
        </w:trPr>
        <w:tc>
          <w:tcPr>
            <w:tcW w:w="1869" w:type="dxa"/>
          </w:tcPr>
          <w:p w14:paraId="25F1253B" w14:textId="77777777" w:rsidR="00D4171A" w:rsidRDefault="00D4171A">
            <w:pPr>
              <w:pStyle w:val="TableSideHeading"/>
            </w:pPr>
          </w:p>
        </w:tc>
        <w:tc>
          <w:tcPr>
            <w:tcW w:w="624" w:type="dxa"/>
          </w:tcPr>
          <w:p w14:paraId="2F2E002E" w14:textId="77777777" w:rsidR="00D4171A" w:rsidRDefault="00D4171A" w:rsidP="00D4171A">
            <w:pPr>
              <w:pStyle w:val="TableText"/>
            </w:pPr>
          </w:p>
        </w:tc>
        <w:tc>
          <w:tcPr>
            <w:tcW w:w="624" w:type="dxa"/>
          </w:tcPr>
          <w:p w14:paraId="12C9C3F3" w14:textId="77777777" w:rsidR="00D4171A" w:rsidRDefault="00D4171A">
            <w:pPr>
              <w:pStyle w:val="TableText"/>
            </w:pPr>
          </w:p>
        </w:tc>
        <w:tc>
          <w:tcPr>
            <w:tcW w:w="624" w:type="dxa"/>
          </w:tcPr>
          <w:p w14:paraId="616EEF95" w14:textId="77777777" w:rsidR="00D4171A" w:rsidRDefault="00D4171A">
            <w:pPr>
              <w:pStyle w:val="TableText"/>
            </w:pPr>
          </w:p>
        </w:tc>
        <w:tc>
          <w:tcPr>
            <w:tcW w:w="624" w:type="dxa"/>
          </w:tcPr>
          <w:p w14:paraId="77EA0AB5" w14:textId="77777777" w:rsidR="00D4171A" w:rsidRDefault="00D4171A">
            <w:pPr>
              <w:pStyle w:val="TableText"/>
            </w:pPr>
          </w:p>
        </w:tc>
        <w:tc>
          <w:tcPr>
            <w:tcW w:w="624" w:type="dxa"/>
          </w:tcPr>
          <w:p w14:paraId="68A9AAF3" w14:textId="77777777" w:rsidR="00D4171A" w:rsidRDefault="00D4171A">
            <w:pPr>
              <w:pStyle w:val="TableText"/>
            </w:pPr>
          </w:p>
        </w:tc>
        <w:tc>
          <w:tcPr>
            <w:tcW w:w="624" w:type="dxa"/>
          </w:tcPr>
          <w:p w14:paraId="50102D61" w14:textId="77777777" w:rsidR="00D4171A" w:rsidRDefault="00D4171A" w:rsidP="00D4171A">
            <w:pPr>
              <w:pStyle w:val="TableText"/>
              <w:numPr>
                <w:ilvl w:val="0"/>
                <w:numId w:val="39"/>
              </w:numPr>
              <w:tabs>
                <w:tab w:val="left" w:pos="624"/>
              </w:tabs>
              <w:jc w:val="both"/>
            </w:pPr>
          </w:p>
        </w:tc>
        <w:tc>
          <w:tcPr>
            <w:tcW w:w="4028" w:type="dxa"/>
            <w:gridSpan w:val="3"/>
          </w:tcPr>
          <w:p w14:paraId="17A9BACE" w14:textId="16BB3E63" w:rsidR="00D4171A" w:rsidRPr="001D3AAF" w:rsidRDefault="00D4171A">
            <w:pPr>
              <w:pStyle w:val="TableBlock"/>
              <w:rPr>
                <w:rtl/>
              </w:rPr>
            </w:pPr>
            <w:r w:rsidRPr="00956D0C">
              <w:rPr>
                <w:rFonts w:hint="cs"/>
                <w:rtl/>
              </w:rPr>
              <w:t>הסוכנות היהודית לארץ ישראל</w:t>
            </w:r>
            <w:r>
              <w:rPr>
                <w:rFonts w:hint="cs"/>
                <w:rtl/>
              </w:rPr>
              <w:t>;</w:t>
            </w:r>
          </w:p>
        </w:tc>
      </w:tr>
      <w:tr w:rsidR="00D4171A" w14:paraId="64F518EC" w14:textId="77777777" w:rsidTr="00E94073">
        <w:trPr>
          <w:cantSplit/>
          <w:trHeight w:val="60"/>
        </w:trPr>
        <w:tc>
          <w:tcPr>
            <w:tcW w:w="1869" w:type="dxa"/>
          </w:tcPr>
          <w:p w14:paraId="5A6084AE" w14:textId="77777777" w:rsidR="00D4171A" w:rsidRDefault="00D4171A">
            <w:pPr>
              <w:pStyle w:val="TableSideHeading"/>
            </w:pPr>
          </w:p>
        </w:tc>
        <w:tc>
          <w:tcPr>
            <w:tcW w:w="624" w:type="dxa"/>
          </w:tcPr>
          <w:p w14:paraId="43CEF189" w14:textId="77777777" w:rsidR="00D4171A" w:rsidRDefault="00D4171A" w:rsidP="00D4171A">
            <w:pPr>
              <w:pStyle w:val="TableText"/>
            </w:pPr>
          </w:p>
        </w:tc>
        <w:tc>
          <w:tcPr>
            <w:tcW w:w="624" w:type="dxa"/>
          </w:tcPr>
          <w:p w14:paraId="7514E4F1" w14:textId="77777777" w:rsidR="00D4171A" w:rsidRDefault="00D4171A">
            <w:pPr>
              <w:pStyle w:val="TableText"/>
            </w:pPr>
          </w:p>
        </w:tc>
        <w:tc>
          <w:tcPr>
            <w:tcW w:w="624" w:type="dxa"/>
          </w:tcPr>
          <w:p w14:paraId="3D9FD907" w14:textId="77777777" w:rsidR="00D4171A" w:rsidRDefault="00D4171A">
            <w:pPr>
              <w:pStyle w:val="TableText"/>
            </w:pPr>
          </w:p>
        </w:tc>
        <w:tc>
          <w:tcPr>
            <w:tcW w:w="624" w:type="dxa"/>
          </w:tcPr>
          <w:p w14:paraId="3855B58A" w14:textId="77777777" w:rsidR="00D4171A" w:rsidRDefault="00D4171A">
            <w:pPr>
              <w:pStyle w:val="TableText"/>
            </w:pPr>
          </w:p>
        </w:tc>
        <w:tc>
          <w:tcPr>
            <w:tcW w:w="624" w:type="dxa"/>
          </w:tcPr>
          <w:p w14:paraId="4B223A5C" w14:textId="77777777" w:rsidR="00D4171A" w:rsidRDefault="00D4171A">
            <w:pPr>
              <w:pStyle w:val="TableText"/>
            </w:pPr>
          </w:p>
        </w:tc>
        <w:tc>
          <w:tcPr>
            <w:tcW w:w="624" w:type="dxa"/>
          </w:tcPr>
          <w:p w14:paraId="7B25C358" w14:textId="77777777" w:rsidR="00D4171A" w:rsidRDefault="00D4171A" w:rsidP="00D4171A">
            <w:pPr>
              <w:pStyle w:val="TableText"/>
              <w:numPr>
                <w:ilvl w:val="0"/>
                <w:numId w:val="39"/>
              </w:numPr>
              <w:tabs>
                <w:tab w:val="left" w:pos="624"/>
              </w:tabs>
              <w:jc w:val="both"/>
            </w:pPr>
          </w:p>
        </w:tc>
        <w:tc>
          <w:tcPr>
            <w:tcW w:w="4028" w:type="dxa"/>
            <w:gridSpan w:val="3"/>
          </w:tcPr>
          <w:p w14:paraId="72C404B2" w14:textId="1F82BAFF" w:rsidR="00D4171A" w:rsidRPr="00956D0C" w:rsidRDefault="00D4171A">
            <w:pPr>
              <w:pStyle w:val="TableBlock"/>
              <w:rPr>
                <w:rtl/>
              </w:rPr>
            </w:pPr>
            <w:r>
              <w:rPr>
                <w:rFonts w:hint="cs"/>
                <w:rtl/>
              </w:rPr>
              <w:t>נותן שירות ציבורי שהוא חובה המוטלת על הציבור לפי חיקוק כגון: בדיקת חובה, רישום חובה או תשלום חובה;</w:t>
            </w:r>
          </w:p>
        </w:tc>
      </w:tr>
      <w:tr w:rsidR="00D4171A" w14:paraId="0420EBE8" w14:textId="77777777" w:rsidTr="00E94073">
        <w:trPr>
          <w:cantSplit/>
          <w:trHeight w:val="60"/>
        </w:trPr>
        <w:tc>
          <w:tcPr>
            <w:tcW w:w="1869" w:type="dxa"/>
          </w:tcPr>
          <w:p w14:paraId="42BA4C59" w14:textId="77777777" w:rsidR="00D4171A" w:rsidRDefault="00D4171A">
            <w:pPr>
              <w:pStyle w:val="TableSideHeading"/>
            </w:pPr>
          </w:p>
        </w:tc>
        <w:tc>
          <w:tcPr>
            <w:tcW w:w="624" w:type="dxa"/>
          </w:tcPr>
          <w:p w14:paraId="000FDB9C" w14:textId="77777777" w:rsidR="00D4171A" w:rsidRDefault="00D4171A" w:rsidP="00D4171A">
            <w:pPr>
              <w:pStyle w:val="TableText"/>
            </w:pPr>
          </w:p>
        </w:tc>
        <w:tc>
          <w:tcPr>
            <w:tcW w:w="624" w:type="dxa"/>
          </w:tcPr>
          <w:p w14:paraId="7B68AB03" w14:textId="77777777" w:rsidR="00D4171A" w:rsidRDefault="00D4171A">
            <w:pPr>
              <w:pStyle w:val="TableText"/>
            </w:pPr>
          </w:p>
        </w:tc>
        <w:tc>
          <w:tcPr>
            <w:tcW w:w="624" w:type="dxa"/>
          </w:tcPr>
          <w:p w14:paraId="79758CE5" w14:textId="77777777" w:rsidR="00D4171A" w:rsidRDefault="00D4171A">
            <w:pPr>
              <w:pStyle w:val="TableText"/>
            </w:pPr>
          </w:p>
        </w:tc>
        <w:tc>
          <w:tcPr>
            <w:tcW w:w="624" w:type="dxa"/>
          </w:tcPr>
          <w:p w14:paraId="2DAB2FF1" w14:textId="77777777" w:rsidR="00D4171A" w:rsidRDefault="00D4171A">
            <w:pPr>
              <w:pStyle w:val="TableText"/>
            </w:pPr>
          </w:p>
        </w:tc>
        <w:tc>
          <w:tcPr>
            <w:tcW w:w="624" w:type="dxa"/>
          </w:tcPr>
          <w:p w14:paraId="1B5B090B" w14:textId="77777777" w:rsidR="00D4171A" w:rsidRDefault="00D4171A">
            <w:pPr>
              <w:pStyle w:val="TableText"/>
            </w:pPr>
          </w:p>
        </w:tc>
        <w:tc>
          <w:tcPr>
            <w:tcW w:w="624" w:type="dxa"/>
          </w:tcPr>
          <w:p w14:paraId="0E76B255" w14:textId="77777777" w:rsidR="00D4171A" w:rsidRDefault="00D4171A" w:rsidP="00D4171A">
            <w:pPr>
              <w:pStyle w:val="TableText"/>
              <w:numPr>
                <w:ilvl w:val="0"/>
                <w:numId w:val="39"/>
              </w:numPr>
              <w:tabs>
                <w:tab w:val="left" w:pos="624"/>
              </w:tabs>
              <w:jc w:val="both"/>
            </w:pPr>
          </w:p>
        </w:tc>
        <w:tc>
          <w:tcPr>
            <w:tcW w:w="4028" w:type="dxa"/>
            <w:gridSpan w:val="3"/>
          </w:tcPr>
          <w:p w14:paraId="7AA4175B" w14:textId="0EB64819" w:rsidR="00D4171A" w:rsidRPr="00956D0C" w:rsidRDefault="00D4171A">
            <w:pPr>
              <w:pStyle w:val="TableBlock"/>
              <w:rPr>
                <w:rtl/>
              </w:rPr>
            </w:pPr>
            <w:r>
              <w:rPr>
                <w:rFonts w:hint="cs"/>
                <w:rtl/>
              </w:rPr>
              <w:t>בנק, למעט שירות שמירת חפצי ערך בכספות;</w:t>
            </w:r>
          </w:p>
        </w:tc>
      </w:tr>
      <w:tr w:rsidR="00D4171A" w14:paraId="4B1CFF50" w14:textId="77777777" w:rsidTr="00E94073">
        <w:trPr>
          <w:cantSplit/>
          <w:trHeight w:val="60"/>
        </w:trPr>
        <w:tc>
          <w:tcPr>
            <w:tcW w:w="1869" w:type="dxa"/>
          </w:tcPr>
          <w:p w14:paraId="18224D42" w14:textId="77777777" w:rsidR="00D4171A" w:rsidRDefault="00D4171A">
            <w:pPr>
              <w:pStyle w:val="TableSideHeading"/>
            </w:pPr>
          </w:p>
        </w:tc>
        <w:tc>
          <w:tcPr>
            <w:tcW w:w="624" w:type="dxa"/>
          </w:tcPr>
          <w:p w14:paraId="76FAAB6C" w14:textId="77777777" w:rsidR="00D4171A" w:rsidRDefault="00D4171A" w:rsidP="00D4171A">
            <w:pPr>
              <w:pStyle w:val="TableText"/>
            </w:pPr>
          </w:p>
        </w:tc>
        <w:tc>
          <w:tcPr>
            <w:tcW w:w="624" w:type="dxa"/>
          </w:tcPr>
          <w:p w14:paraId="098F5542" w14:textId="77777777" w:rsidR="00D4171A" w:rsidRDefault="00D4171A">
            <w:pPr>
              <w:pStyle w:val="TableText"/>
            </w:pPr>
          </w:p>
        </w:tc>
        <w:tc>
          <w:tcPr>
            <w:tcW w:w="624" w:type="dxa"/>
          </w:tcPr>
          <w:p w14:paraId="5AC68497" w14:textId="77777777" w:rsidR="00D4171A" w:rsidRDefault="00D4171A">
            <w:pPr>
              <w:pStyle w:val="TableText"/>
            </w:pPr>
          </w:p>
        </w:tc>
        <w:tc>
          <w:tcPr>
            <w:tcW w:w="624" w:type="dxa"/>
          </w:tcPr>
          <w:p w14:paraId="0CD976DD" w14:textId="77777777" w:rsidR="00D4171A" w:rsidRDefault="00D4171A">
            <w:pPr>
              <w:pStyle w:val="TableText"/>
            </w:pPr>
          </w:p>
        </w:tc>
        <w:tc>
          <w:tcPr>
            <w:tcW w:w="624" w:type="dxa"/>
          </w:tcPr>
          <w:p w14:paraId="0DB1C63E" w14:textId="77777777" w:rsidR="00D4171A" w:rsidRDefault="00D4171A">
            <w:pPr>
              <w:pStyle w:val="TableText"/>
            </w:pPr>
          </w:p>
        </w:tc>
        <w:tc>
          <w:tcPr>
            <w:tcW w:w="624" w:type="dxa"/>
          </w:tcPr>
          <w:p w14:paraId="780EF6B6" w14:textId="77777777" w:rsidR="00D4171A" w:rsidRDefault="00D4171A" w:rsidP="00D4171A">
            <w:pPr>
              <w:pStyle w:val="TableText"/>
              <w:numPr>
                <w:ilvl w:val="0"/>
                <w:numId w:val="39"/>
              </w:numPr>
              <w:tabs>
                <w:tab w:val="left" w:pos="624"/>
              </w:tabs>
              <w:jc w:val="both"/>
            </w:pPr>
          </w:p>
        </w:tc>
        <w:tc>
          <w:tcPr>
            <w:tcW w:w="4028" w:type="dxa"/>
            <w:gridSpan w:val="3"/>
          </w:tcPr>
          <w:p w14:paraId="711B9B2D" w14:textId="536100C5" w:rsidR="00D4171A" w:rsidRDefault="00D4171A">
            <w:pPr>
              <w:pStyle w:val="TableBlock"/>
              <w:rPr>
                <w:rtl/>
              </w:rPr>
            </w:pPr>
            <w:r>
              <w:rPr>
                <w:rtl/>
              </w:rPr>
              <w:t>שירות ציבורי של סניף דואר, בית דואר, לרבות מתקן לחלוקת דואר או</w:t>
            </w:r>
            <w:r>
              <w:rPr>
                <w:rFonts w:hint="cs"/>
                <w:rtl/>
              </w:rPr>
              <w:t xml:space="preserve"> </w:t>
            </w:r>
            <w:r>
              <w:rPr>
                <w:rtl/>
              </w:rPr>
              <w:t>סוכנות דואר, אך למעט –</w:t>
            </w:r>
          </w:p>
        </w:tc>
      </w:tr>
      <w:tr w:rsidR="00D4171A" w14:paraId="639EC6AD" w14:textId="77777777" w:rsidTr="00E94073">
        <w:trPr>
          <w:cantSplit/>
          <w:trHeight w:val="60"/>
        </w:trPr>
        <w:tc>
          <w:tcPr>
            <w:tcW w:w="1869" w:type="dxa"/>
          </w:tcPr>
          <w:p w14:paraId="0AC63BB0" w14:textId="77777777" w:rsidR="00D4171A" w:rsidRDefault="00D4171A">
            <w:pPr>
              <w:pStyle w:val="TableSideHeading"/>
            </w:pPr>
          </w:p>
        </w:tc>
        <w:tc>
          <w:tcPr>
            <w:tcW w:w="624" w:type="dxa"/>
          </w:tcPr>
          <w:p w14:paraId="71EC90A6" w14:textId="77777777" w:rsidR="00D4171A" w:rsidRDefault="00D4171A">
            <w:pPr>
              <w:pStyle w:val="TableText"/>
            </w:pPr>
          </w:p>
        </w:tc>
        <w:tc>
          <w:tcPr>
            <w:tcW w:w="624" w:type="dxa"/>
          </w:tcPr>
          <w:p w14:paraId="1B76159C" w14:textId="77777777" w:rsidR="00D4171A" w:rsidRDefault="00D4171A">
            <w:pPr>
              <w:pStyle w:val="TableText"/>
            </w:pPr>
          </w:p>
        </w:tc>
        <w:tc>
          <w:tcPr>
            <w:tcW w:w="624" w:type="dxa"/>
          </w:tcPr>
          <w:p w14:paraId="1C27CB54" w14:textId="77777777" w:rsidR="00D4171A" w:rsidRDefault="00D4171A">
            <w:pPr>
              <w:pStyle w:val="TableText"/>
            </w:pPr>
          </w:p>
        </w:tc>
        <w:tc>
          <w:tcPr>
            <w:tcW w:w="624" w:type="dxa"/>
          </w:tcPr>
          <w:p w14:paraId="3DB01E32" w14:textId="77777777" w:rsidR="00D4171A" w:rsidRDefault="00D4171A">
            <w:pPr>
              <w:pStyle w:val="TableText"/>
            </w:pPr>
          </w:p>
        </w:tc>
        <w:tc>
          <w:tcPr>
            <w:tcW w:w="624" w:type="dxa"/>
          </w:tcPr>
          <w:p w14:paraId="28834559" w14:textId="77777777" w:rsidR="00D4171A" w:rsidRDefault="00D4171A">
            <w:pPr>
              <w:pStyle w:val="TableText"/>
            </w:pPr>
          </w:p>
        </w:tc>
        <w:tc>
          <w:tcPr>
            <w:tcW w:w="624" w:type="dxa"/>
          </w:tcPr>
          <w:p w14:paraId="4F08315C" w14:textId="77777777" w:rsidR="00D4171A" w:rsidRDefault="00D4171A">
            <w:pPr>
              <w:pStyle w:val="TableText"/>
            </w:pPr>
          </w:p>
        </w:tc>
        <w:tc>
          <w:tcPr>
            <w:tcW w:w="628" w:type="dxa"/>
            <w:gridSpan w:val="2"/>
          </w:tcPr>
          <w:p w14:paraId="085A81F3" w14:textId="77777777" w:rsidR="00D4171A" w:rsidRDefault="00D4171A">
            <w:pPr>
              <w:pStyle w:val="TableText"/>
            </w:pPr>
          </w:p>
        </w:tc>
        <w:tc>
          <w:tcPr>
            <w:tcW w:w="3400" w:type="dxa"/>
          </w:tcPr>
          <w:p w14:paraId="1337ED7E" w14:textId="1BBC8DC7" w:rsidR="00D4171A" w:rsidRDefault="00D4171A" w:rsidP="00D4171A">
            <w:pPr>
              <w:pStyle w:val="TableBlock"/>
              <w:numPr>
                <w:ilvl w:val="0"/>
                <w:numId w:val="40"/>
              </w:numPr>
              <w:tabs>
                <w:tab w:val="left" w:pos="624"/>
              </w:tabs>
            </w:pPr>
            <w:r>
              <w:rPr>
                <w:rtl/>
              </w:rPr>
              <w:t xml:space="preserve">מתקן לחלוקת דואר, אם קיים בישוב, במרחק </w:t>
            </w:r>
            <w:r w:rsidRPr="002535F0">
              <w:rPr>
                <w:rtl/>
              </w:rPr>
              <w:t>נסיעה</w:t>
            </w:r>
            <w:r>
              <w:rPr>
                <w:rtl/>
              </w:rPr>
              <w:t xml:space="preserve"> שאינו עולה על שני קילומטרים</w:t>
            </w:r>
            <w:r>
              <w:rPr>
                <w:rFonts w:hint="cs"/>
                <w:rtl/>
              </w:rPr>
              <w:t>,</w:t>
            </w:r>
            <w:r>
              <w:rPr>
                <w:rtl/>
              </w:rPr>
              <w:t xml:space="preserve"> מתקן דואר אחר </w:t>
            </w:r>
            <w:r>
              <w:rPr>
                <w:rFonts w:hint="cs"/>
                <w:rtl/>
              </w:rPr>
              <w:t xml:space="preserve">שבו קיימת </w:t>
            </w:r>
            <w:r>
              <w:rPr>
                <w:rtl/>
              </w:rPr>
              <w:t>דרך נגישה</w:t>
            </w:r>
            <w:r>
              <w:rPr>
                <w:rFonts w:hint="cs"/>
                <w:rtl/>
              </w:rPr>
              <w:t>;</w:t>
            </w:r>
          </w:p>
        </w:tc>
      </w:tr>
      <w:tr w:rsidR="00D4171A" w14:paraId="7F41EF40" w14:textId="77777777" w:rsidTr="00E94073">
        <w:trPr>
          <w:cantSplit/>
          <w:trHeight w:val="60"/>
        </w:trPr>
        <w:tc>
          <w:tcPr>
            <w:tcW w:w="1869" w:type="dxa"/>
          </w:tcPr>
          <w:p w14:paraId="533B08D8" w14:textId="77777777" w:rsidR="00D4171A" w:rsidRDefault="00D4171A">
            <w:pPr>
              <w:pStyle w:val="TableSideHeading"/>
            </w:pPr>
          </w:p>
        </w:tc>
        <w:tc>
          <w:tcPr>
            <w:tcW w:w="624" w:type="dxa"/>
          </w:tcPr>
          <w:p w14:paraId="1ACF36DD" w14:textId="77777777" w:rsidR="00D4171A" w:rsidRDefault="00D4171A" w:rsidP="00D4171A">
            <w:pPr>
              <w:pStyle w:val="TableText"/>
            </w:pPr>
          </w:p>
        </w:tc>
        <w:tc>
          <w:tcPr>
            <w:tcW w:w="624" w:type="dxa"/>
          </w:tcPr>
          <w:p w14:paraId="1A788172" w14:textId="77777777" w:rsidR="00D4171A" w:rsidRDefault="00D4171A">
            <w:pPr>
              <w:pStyle w:val="TableText"/>
            </w:pPr>
          </w:p>
        </w:tc>
        <w:tc>
          <w:tcPr>
            <w:tcW w:w="624" w:type="dxa"/>
          </w:tcPr>
          <w:p w14:paraId="1C0ABEFE" w14:textId="77777777" w:rsidR="00D4171A" w:rsidRDefault="00D4171A">
            <w:pPr>
              <w:pStyle w:val="TableText"/>
            </w:pPr>
          </w:p>
        </w:tc>
        <w:tc>
          <w:tcPr>
            <w:tcW w:w="624" w:type="dxa"/>
          </w:tcPr>
          <w:p w14:paraId="634DE22D" w14:textId="77777777" w:rsidR="00D4171A" w:rsidRDefault="00D4171A">
            <w:pPr>
              <w:pStyle w:val="TableText"/>
            </w:pPr>
          </w:p>
        </w:tc>
        <w:tc>
          <w:tcPr>
            <w:tcW w:w="624" w:type="dxa"/>
          </w:tcPr>
          <w:p w14:paraId="3DEAB243" w14:textId="77777777" w:rsidR="00D4171A" w:rsidRDefault="00D4171A">
            <w:pPr>
              <w:pStyle w:val="TableText"/>
            </w:pPr>
          </w:p>
        </w:tc>
        <w:tc>
          <w:tcPr>
            <w:tcW w:w="624" w:type="dxa"/>
          </w:tcPr>
          <w:p w14:paraId="6FC58CFA" w14:textId="77777777" w:rsidR="00D4171A" w:rsidRDefault="00D4171A">
            <w:pPr>
              <w:pStyle w:val="TableText"/>
            </w:pPr>
          </w:p>
        </w:tc>
        <w:tc>
          <w:tcPr>
            <w:tcW w:w="628" w:type="dxa"/>
            <w:gridSpan w:val="2"/>
          </w:tcPr>
          <w:p w14:paraId="08BE4E75" w14:textId="77777777" w:rsidR="00D4171A" w:rsidRDefault="00D4171A">
            <w:pPr>
              <w:pStyle w:val="TableText"/>
            </w:pPr>
          </w:p>
        </w:tc>
        <w:tc>
          <w:tcPr>
            <w:tcW w:w="3400" w:type="dxa"/>
          </w:tcPr>
          <w:p w14:paraId="07D486BF" w14:textId="2E50A44D" w:rsidR="00D4171A" w:rsidRDefault="00D4171A" w:rsidP="00D4171A">
            <w:pPr>
              <w:pStyle w:val="TableBlock"/>
              <w:numPr>
                <w:ilvl w:val="0"/>
                <w:numId w:val="40"/>
              </w:numPr>
              <w:tabs>
                <w:tab w:val="left" w:pos="624"/>
              </w:tabs>
              <w:rPr>
                <w:rtl/>
              </w:rPr>
            </w:pPr>
            <w:r w:rsidRPr="00B55BCB">
              <w:rPr>
                <w:rFonts w:hint="cs"/>
                <w:rtl/>
              </w:rPr>
              <w:t>סניף ד</w:t>
            </w:r>
            <w:r>
              <w:rPr>
                <w:rFonts w:hint="cs"/>
                <w:rtl/>
              </w:rPr>
              <w:t>ואר וסוכנות דואר, אם קיים ב</w:t>
            </w:r>
            <w:r w:rsidRPr="00B55BCB">
              <w:rPr>
                <w:rFonts w:hint="cs"/>
                <w:rtl/>
              </w:rPr>
              <w:t>ישוב</w:t>
            </w:r>
            <w:r>
              <w:rPr>
                <w:rFonts w:hint="cs"/>
                <w:rtl/>
              </w:rPr>
              <w:t>,</w:t>
            </w:r>
            <w:r w:rsidRPr="00B55BCB">
              <w:rPr>
                <w:rFonts w:hint="cs"/>
                <w:rtl/>
              </w:rPr>
              <w:t xml:space="preserve"> במרחק נסיעה שאינו עולה על חמישה קילומטרים, סניף דואר או סוכנות דואר</w:t>
            </w:r>
            <w:r>
              <w:rPr>
                <w:rFonts w:hint="cs"/>
                <w:rtl/>
              </w:rPr>
              <w:t xml:space="preserve"> שקיימת בו דרך נגישה.</w:t>
            </w:r>
          </w:p>
        </w:tc>
      </w:tr>
      <w:tr w:rsidR="00D4171A" w14:paraId="72723957" w14:textId="77777777" w:rsidTr="00E94073">
        <w:trPr>
          <w:cantSplit/>
          <w:trHeight w:val="60"/>
        </w:trPr>
        <w:tc>
          <w:tcPr>
            <w:tcW w:w="1869" w:type="dxa"/>
          </w:tcPr>
          <w:p w14:paraId="751B8B3A" w14:textId="77777777" w:rsidR="00D4171A" w:rsidRDefault="00D4171A">
            <w:pPr>
              <w:pStyle w:val="TableSideHeading"/>
            </w:pPr>
          </w:p>
        </w:tc>
        <w:tc>
          <w:tcPr>
            <w:tcW w:w="624" w:type="dxa"/>
          </w:tcPr>
          <w:p w14:paraId="3CB92748" w14:textId="77777777" w:rsidR="00D4171A" w:rsidRDefault="00D4171A">
            <w:pPr>
              <w:pStyle w:val="TableText"/>
            </w:pPr>
          </w:p>
        </w:tc>
        <w:tc>
          <w:tcPr>
            <w:tcW w:w="624" w:type="dxa"/>
          </w:tcPr>
          <w:p w14:paraId="2624CEB3" w14:textId="77777777" w:rsidR="00D4171A" w:rsidRDefault="00D4171A">
            <w:pPr>
              <w:pStyle w:val="TableText"/>
            </w:pPr>
          </w:p>
        </w:tc>
        <w:tc>
          <w:tcPr>
            <w:tcW w:w="624" w:type="dxa"/>
          </w:tcPr>
          <w:p w14:paraId="6D1A5ED3" w14:textId="77777777" w:rsidR="00D4171A" w:rsidRDefault="00D4171A">
            <w:pPr>
              <w:pStyle w:val="TableText"/>
            </w:pPr>
          </w:p>
        </w:tc>
        <w:tc>
          <w:tcPr>
            <w:tcW w:w="624" w:type="dxa"/>
          </w:tcPr>
          <w:p w14:paraId="27B4AE87" w14:textId="77777777" w:rsidR="00D4171A" w:rsidRDefault="00D4171A">
            <w:pPr>
              <w:pStyle w:val="TableText"/>
            </w:pPr>
          </w:p>
        </w:tc>
        <w:tc>
          <w:tcPr>
            <w:tcW w:w="624" w:type="dxa"/>
          </w:tcPr>
          <w:p w14:paraId="59983DD8" w14:textId="77777777" w:rsidR="00D4171A" w:rsidRDefault="00D4171A">
            <w:pPr>
              <w:pStyle w:val="TableText"/>
            </w:pPr>
          </w:p>
        </w:tc>
        <w:tc>
          <w:tcPr>
            <w:tcW w:w="4652" w:type="dxa"/>
            <w:gridSpan w:val="4"/>
          </w:tcPr>
          <w:p w14:paraId="40896847" w14:textId="1B09A8DB" w:rsidR="00D4171A" w:rsidRPr="006B43C8" w:rsidRDefault="00D4171A" w:rsidP="004B366D">
            <w:pPr>
              <w:pStyle w:val="TableBlockOutdent"/>
              <w:rPr>
                <w:rtl/>
              </w:rPr>
            </w:pPr>
            <w:r>
              <w:rPr>
                <w:rtl/>
              </w:rPr>
              <w:t>"</w:t>
            </w:r>
            <w:r w:rsidRPr="00B55BCB">
              <w:rPr>
                <w:rFonts w:hint="cs"/>
                <w:rtl/>
              </w:rPr>
              <w:t xml:space="preserve">בית שימוש נגיש" </w:t>
            </w:r>
            <w:r w:rsidRPr="00B55BCB">
              <w:rPr>
                <w:rtl/>
              </w:rPr>
              <w:t>–</w:t>
            </w:r>
            <w:r w:rsidRPr="00B55BCB">
              <w:rPr>
                <w:rFonts w:hint="cs"/>
                <w:rtl/>
              </w:rPr>
              <w:t xml:space="preserve"> </w:t>
            </w:r>
            <w:r>
              <w:rPr>
                <w:rFonts w:hint="cs"/>
                <w:rtl/>
              </w:rPr>
              <w:t xml:space="preserve">במקום ציבורי קיים - </w:t>
            </w:r>
            <w:r w:rsidRPr="006B43C8">
              <w:rPr>
                <w:rFonts w:hint="cs"/>
                <w:rtl/>
              </w:rPr>
              <w:t>תא בית שימוש שהתקיימו בו הוראות פרט 2(21) בטבלה</w:t>
            </w:r>
            <w:r>
              <w:rPr>
                <w:rFonts w:hint="cs"/>
                <w:rtl/>
              </w:rPr>
              <w:t xml:space="preserve"> בתוספת הראשונה לתקנות הנגישות למקום ציבורי קיים; במקום ציבורי חדש - כמשמעותו בחלק ח'1, פרק א', סימן י' לתקנות התכנון והבניה;</w:t>
            </w:r>
          </w:p>
        </w:tc>
      </w:tr>
      <w:tr w:rsidR="00D4171A" w14:paraId="5F555DF1" w14:textId="77777777" w:rsidTr="00E94073">
        <w:trPr>
          <w:cantSplit/>
          <w:trHeight w:val="60"/>
        </w:trPr>
        <w:tc>
          <w:tcPr>
            <w:tcW w:w="1869" w:type="dxa"/>
          </w:tcPr>
          <w:p w14:paraId="576480DA" w14:textId="77777777" w:rsidR="00D4171A" w:rsidRDefault="00D4171A">
            <w:pPr>
              <w:pStyle w:val="TableSideHeading"/>
            </w:pPr>
          </w:p>
        </w:tc>
        <w:tc>
          <w:tcPr>
            <w:tcW w:w="624" w:type="dxa"/>
          </w:tcPr>
          <w:p w14:paraId="45B00C87" w14:textId="77777777" w:rsidR="00D4171A" w:rsidRDefault="00D4171A">
            <w:pPr>
              <w:pStyle w:val="TableText"/>
            </w:pPr>
          </w:p>
        </w:tc>
        <w:tc>
          <w:tcPr>
            <w:tcW w:w="624" w:type="dxa"/>
          </w:tcPr>
          <w:p w14:paraId="0DDD6F03" w14:textId="77777777" w:rsidR="00D4171A" w:rsidRDefault="00D4171A">
            <w:pPr>
              <w:pStyle w:val="TableText"/>
            </w:pPr>
          </w:p>
        </w:tc>
        <w:tc>
          <w:tcPr>
            <w:tcW w:w="624" w:type="dxa"/>
          </w:tcPr>
          <w:p w14:paraId="02F88303" w14:textId="77777777" w:rsidR="00D4171A" w:rsidRDefault="00D4171A">
            <w:pPr>
              <w:pStyle w:val="TableText"/>
            </w:pPr>
          </w:p>
        </w:tc>
        <w:tc>
          <w:tcPr>
            <w:tcW w:w="624" w:type="dxa"/>
          </w:tcPr>
          <w:p w14:paraId="12C6B10E" w14:textId="77777777" w:rsidR="00D4171A" w:rsidRDefault="00D4171A">
            <w:pPr>
              <w:pStyle w:val="TableText"/>
            </w:pPr>
          </w:p>
        </w:tc>
        <w:tc>
          <w:tcPr>
            <w:tcW w:w="624" w:type="dxa"/>
          </w:tcPr>
          <w:p w14:paraId="6B832AF2" w14:textId="77777777" w:rsidR="00D4171A" w:rsidRDefault="00D4171A">
            <w:pPr>
              <w:pStyle w:val="TableText"/>
            </w:pPr>
          </w:p>
        </w:tc>
        <w:tc>
          <w:tcPr>
            <w:tcW w:w="4652" w:type="dxa"/>
            <w:gridSpan w:val="4"/>
          </w:tcPr>
          <w:p w14:paraId="221373FC" w14:textId="72BC7EFF" w:rsidR="00D4171A" w:rsidRPr="003E2BD0" w:rsidRDefault="00D4171A" w:rsidP="00E94073">
            <w:pPr>
              <w:pStyle w:val="TableBlockOutdent"/>
              <w:rPr>
                <w:rtl/>
              </w:rPr>
            </w:pPr>
            <w:r>
              <w:rPr>
                <w:rtl/>
              </w:rPr>
              <w:t>"</w:t>
            </w:r>
            <w:r w:rsidRPr="00B55BCB">
              <w:rPr>
                <w:rFonts w:hint="cs"/>
                <w:rtl/>
              </w:rPr>
              <w:t>דרך</w:t>
            </w:r>
            <w:r w:rsidRPr="00B55BCB">
              <w:rPr>
                <w:rtl/>
              </w:rPr>
              <w:t xml:space="preserve"> </w:t>
            </w:r>
            <w:r w:rsidRPr="00B55BCB">
              <w:rPr>
                <w:rFonts w:hint="cs"/>
                <w:rtl/>
              </w:rPr>
              <w:t>נגישה</w:t>
            </w:r>
            <w:r w:rsidRPr="00B55BCB">
              <w:rPr>
                <w:rtl/>
              </w:rPr>
              <w:t>"</w:t>
            </w:r>
            <w:r w:rsidRPr="00B55BCB">
              <w:rPr>
                <w:rFonts w:hint="cs"/>
                <w:rtl/>
              </w:rPr>
              <w:t xml:space="preserve"> </w:t>
            </w:r>
            <w:r w:rsidRPr="00B55BCB">
              <w:rPr>
                <w:rtl/>
              </w:rPr>
              <w:t>–</w:t>
            </w:r>
            <w:r w:rsidRPr="00B55BCB">
              <w:rPr>
                <w:rFonts w:hint="cs"/>
                <w:rtl/>
              </w:rPr>
              <w:t xml:space="preserve"> </w:t>
            </w:r>
            <w:r w:rsidR="00E94073" w:rsidRPr="007E1598">
              <w:rPr>
                <w:rFonts w:hint="cs"/>
                <w:rtl/>
              </w:rPr>
              <w:t>תוואי חופשי רצוף, המחבר בין גבול שטחי החוץ</w:t>
            </w:r>
            <w:r w:rsidR="00E94073">
              <w:rPr>
                <w:rFonts w:hint="cs"/>
                <w:rtl/>
              </w:rPr>
              <w:t xml:space="preserve"> של ה</w:t>
            </w:r>
            <w:r w:rsidR="00E94073" w:rsidRPr="00B55BCB">
              <w:rPr>
                <w:rFonts w:hint="cs"/>
                <w:rtl/>
              </w:rPr>
              <w:t>בניין, ל</w:t>
            </w:r>
            <w:r w:rsidR="00E94073">
              <w:rPr>
                <w:rFonts w:hint="cs"/>
                <w:rtl/>
              </w:rPr>
              <w:t xml:space="preserve">כל מקום שניתן בו בפועל שירות לציבור ושמתקיימים בה: </w:t>
            </w:r>
          </w:p>
        </w:tc>
      </w:tr>
      <w:tr w:rsidR="00E94073" w14:paraId="2E48DBDD" w14:textId="77777777" w:rsidTr="00E94073">
        <w:trPr>
          <w:cantSplit/>
          <w:trHeight w:val="60"/>
        </w:trPr>
        <w:tc>
          <w:tcPr>
            <w:tcW w:w="1869" w:type="dxa"/>
          </w:tcPr>
          <w:p w14:paraId="61B1EBA8" w14:textId="77777777" w:rsidR="00E94073" w:rsidRDefault="00E94073">
            <w:pPr>
              <w:pStyle w:val="TableSideHeading"/>
            </w:pPr>
          </w:p>
        </w:tc>
        <w:tc>
          <w:tcPr>
            <w:tcW w:w="624" w:type="dxa"/>
          </w:tcPr>
          <w:p w14:paraId="01AA8724" w14:textId="77777777" w:rsidR="00E94073" w:rsidRDefault="00E94073">
            <w:pPr>
              <w:pStyle w:val="TableText"/>
            </w:pPr>
          </w:p>
        </w:tc>
        <w:tc>
          <w:tcPr>
            <w:tcW w:w="624" w:type="dxa"/>
          </w:tcPr>
          <w:p w14:paraId="060F3444" w14:textId="77777777" w:rsidR="00E94073" w:rsidRDefault="00E94073">
            <w:pPr>
              <w:pStyle w:val="TableText"/>
            </w:pPr>
          </w:p>
        </w:tc>
        <w:tc>
          <w:tcPr>
            <w:tcW w:w="624" w:type="dxa"/>
          </w:tcPr>
          <w:p w14:paraId="1054D36C" w14:textId="77777777" w:rsidR="00E94073" w:rsidRDefault="00E94073">
            <w:pPr>
              <w:pStyle w:val="TableText"/>
            </w:pPr>
          </w:p>
        </w:tc>
        <w:tc>
          <w:tcPr>
            <w:tcW w:w="624" w:type="dxa"/>
          </w:tcPr>
          <w:p w14:paraId="213FA1FC" w14:textId="77777777" w:rsidR="00E94073" w:rsidRDefault="00E94073">
            <w:pPr>
              <w:pStyle w:val="TableText"/>
            </w:pPr>
          </w:p>
        </w:tc>
        <w:tc>
          <w:tcPr>
            <w:tcW w:w="624" w:type="dxa"/>
          </w:tcPr>
          <w:p w14:paraId="213604E7" w14:textId="77777777" w:rsidR="00E94073" w:rsidRDefault="00E94073">
            <w:pPr>
              <w:pStyle w:val="TableText"/>
            </w:pPr>
          </w:p>
        </w:tc>
        <w:tc>
          <w:tcPr>
            <w:tcW w:w="624" w:type="dxa"/>
          </w:tcPr>
          <w:p w14:paraId="3066D6BE" w14:textId="77777777" w:rsidR="00E94073" w:rsidRDefault="00E94073">
            <w:pPr>
              <w:pStyle w:val="TableText"/>
            </w:pPr>
          </w:p>
        </w:tc>
        <w:tc>
          <w:tcPr>
            <w:tcW w:w="4028" w:type="dxa"/>
            <w:gridSpan w:val="3"/>
          </w:tcPr>
          <w:p w14:paraId="7448F76C" w14:textId="1322A1C6" w:rsidR="00E94073" w:rsidRDefault="00E94073" w:rsidP="00E94073">
            <w:pPr>
              <w:pStyle w:val="TableBlock"/>
              <w:numPr>
                <w:ilvl w:val="0"/>
                <w:numId w:val="41"/>
              </w:numPr>
              <w:tabs>
                <w:tab w:val="left" w:pos="624"/>
              </w:tabs>
            </w:pPr>
            <w:r>
              <w:rPr>
                <w:rFonts w:hint="cs"/>
                <w:rtl/>
              </w:rPr>
              <w:t xml:space="preserve">במקום ציבורי קיים - הרכיבים המפורטים </w:t>
            </w:r>
            <w:r w:rsidRPr="00B55BCB">
              <w:rPr>
                <w:rFonts w:hint="cs"/>
                <w:rtl/>
              </w:rPr>
              <w:t xml:space="preserve">בטור ג', ד' או ה' </w:t>
            </w:r>
            <w:r>
              <w:rPr>
                <w:rFonts w:hint="cs"/>
                <w:rtl/>
              </w:rPr>
              <w:t xml:space="preserve">לצד </w:t>
            </w:r>
            <w:r w:rsidRPr="00B55BCB">
              <w:rPr>
                <w:rFonts w:hint="cs"/>
                <w:rtl/>
              </w:rPr>
              <w:t>פרטי המשנה (1), (4)</w:t>
            </w:r>
            <w:r>
              <w:rPr>
                <w:rFonts w:hint="cs"/>
                <w:rtl/>
              </w:rPr>
              <w:t xml:space="preserve"> ו-(6), והרכיבים בטור ג' או ד' לצד פרטי המשנה (5), (7)</w:t>
            </w:r>
            <w:r w:rsidRPr="00B55BCB">
              <w:rPr>
                <w:rFonts w:hint="cs"/>
                <w:rtl/>
              </w:rPr>
              <w:t xml:space="preserve"> עד (11), ו-(14) בפרט 2 לתוספת הראשונה לתקנות הנגישות למקום ציבורי קיים</w:t>
            </w:r>
            <w:r>
              <w:rPr>
                <w:rFonts w:hint="cs"/>
                <w:rtl/>
              </w:rPr>
              <w:t>;</w:t>
            </w:r>
          </w:p>
        </w:tc>
      </w:tr>
      <w:tr w:rsidR="00E94073" w14:paraId="56552A7F" w14:textId="77777777" w:rsidTr="00E94073">
        <w:trPr>
          <w:cantSplit/>
          <w:trHeight w:val="60"/>
        </w:trPr>
        <w:tc>
          <w:tcPr>
            <w:tcW w:w="1869" w:type="dxa"/>
          </w:tcPr>
          <w:p w14:paraId="51FE6938" w14:textId="77777777" w:rsidR="00E94073" w:rsidRDefault="00E94073">
            <w:pPr>
              <w:pStyle w:val="TableSideHeading"/>
            </w:pPr>
          </w:p>
        </w:tc>
        <w:tc>
          <w:tcPr>
            <w:tcW w:w="624" w:type="dxa"/>
          </w:tcPr>
          <w:p w14:paraId="28176EA6" w14:textId="77777777" w:rsidR="00E94073" w:rsidRDefault="00E94073" w:rsidP="00E94073">
            <w:pPr>
              <w:pStyle w:val="TableText"/>
            </w:pPr>
          </w:p>
        </w:tc>
        <w:tc>
          <w:tcPr>
            <w:tcW w:w="624" w:type="dxa"/>
          </w:tcPr>
          <w:p w14:paraId="25FC9FF6" w14:textId="77777777" w:rsidR="00E94073" w:rsidRDefault="00E94073">
            <w:pPr>
              <w:pStyle w:val="TableText"/>
            </w:pPr>
          </w:p>
        </w:tc>
        <w:tc>
          <w:tcPr>
            <w:tcW w:w="624" w:type="dxa"/>
          </w:tcPr>
          <w:p w14:paraId="6791690C" w14:textId="77777777" w:rsidR="00E94073" w:rsidRDefault="00E94073">
            <w:pPr>
              <w:pStyle w:val="TableText"/>
            </w:pPr>
          </w:p>
        </w:tc>
        <w:tc>
          <w:tcPr>
            <w:tcW w:w="624" w:type="dxa"/>
          </w:tcPr>
          <w:p w14:paraId="5077D28A" w14:textId="77777777" w:rsidR="00E94073" w:rsidRDefault="00E94073">
            <w:pPr>
              <w:pStyle w:val="TableText"/>
            </w:pPr>
          </w:p>
        </w:tc>
        <w:tc>
          <w:tcPr>
            <w:tcW w:w="624" w:type="dxa"/>
          </w:tcPr>
          <w:p w14:paraId="1FD4E887" w14:textId="77777777" w:rsidR="00E94073" w:rsidRDefault="00E94073">
            <w:pPr>
              <w:pStyle w:val="TableText"/>
            </w:pPr>
          </w:p>
        </w:tc>
        <w:tc>
          <w:tcPr>
            <w:tcW w:w="624" w:type="dxa"/>
          </w:tcPr>
          <w:p w14:paraId="45E94834" w14:textId="77777777" w:rsidR="00E94073" w:rsidRDefault="00E94073">
            <w:pPr>
              <w:pStyle w:val="TableText"/>
            </w:pPr>
          </w:p>
        </w:tc>
        <w:tc>
          <w:tcPr>
            <w:tcW w:w="4028" w:type="dxa"/>
            <w:gridSpan w:val="3"/>
          </w:tcPr>
          <w:p w14:paraId="2183BF78" w14:textId="4460FEF0" w:rsidR="00E94073" w:rsidRDefault="00E94073" w:rsidP="00E94073">
            <w:pPr>
              <w:pStyle w:val="TableBlock"/>
              <w:numPr>
                <w:ilvl w:val="0"/>
                <w:numId w:val="41"/>
              </w:numPr>
              <w:tabs>
                <w:tab w:val="left" w:pos="624"/>
              </w:tabs>
              <w:rPr>
                <w:rtl/>
              </w:rPr>
            </w:pPr>
            <w:r>
              <w:rPr>
                <w:rFonts w:hint="cs"/>
                <w:rtl/>
              </w:rPr>
              <w:t>במקום ציבורי חדש - הוראות חלק ח'1, פרק א', סימן ג' לתקנות התכנון והבניה;</w:t>
            </w:r>
          </w:p>
        </w:tc>
      </w:tr>
      <w:tr w:rsidR="00D4171A" w14:paraId="5C2C733E" w14:textId="77777777" w:rsidTr="00E94073">
        <w:trPr>
          <w:cantSplit/>
          <w:trHeight w:val="60"/>
        </w:trPr>
        <w:tc>
          <w:tcPr>
            <w:tcW w:w="1869" w:type="dxa"/>
          </w:tcPr>
          <w:p w14:paraId="5E63A996" w14:textId="77777777" w:rsidR="00D4171A" w:rsidRDefault="00D4171A">
            <w:pPr>
              <w:pStyle w:val="TableSideHeading"/>
            </w:pPr>
          </w:p>
        </w:tc>
        <w:tc>
          <w:tcPr>
            <w:tcW w:w="624" w:type="dxa"/>
          </w:tcPr>
          <w:p w14:paraId="306DBA28" w14:textId="77777777" w:rsidR="00D4171A" w:rsidRDefault="00D4171A">
            <w:pPr>
              <w:pStyle w:val="TableText"/>
            </w:pPr>
          </w:p>
        </w:tc>
        <w:tc>
          <w:tcPr>
            <w:tcW w:w="624" w:type="dxa"/>
          </w:tcPr>
          <w:p w14:paraId="7C8B6220" w14:textId="77777777" w:rsidR="00D4171A" w:rsidRDefault="00D4171A">
            <w:pPr>
              <w:pStyle w:val="TableText"/>
            </w:pPr>
          </w:p>
        </w:tc>
        <w:tc>
          <w:tcPr>
            <w:tcW w:w="624" w:type="dxa"/>
          </w:tcPr>
          <w:p w14:paraId="0A405E6A" w14:textId="77777777" w:rsidR="00D4171A" w:rsidRDefault="00D4171A">
            <w:pPr>
              <w:pStyle w:val="TableText"/>
            </w:pPr>
          </w:p>
        </w:tc>
        <w:tc>
          <w:tcPr>
            <w:tcW w:w="624" w:type="dxa"/>
          </w:tcPr>
          <w:p w14:paraId="6272B47D" w14:textId="77777777" w:rsidR="00D4171A" w:rsidRDefault="00D4171A">
            <w:pPr>
              <w:pStyle w:val="TableText"/>
            </w:pPr>
          </w:p>
        </w:tc>
        <w:tc>
          <w:tcPr>
            <w:tcW w:w="624" w:type="dxa"/>
          </w:tcPr>
          <w:p w14:paraId="65831126" w14:textId="77777777" w:rsidR="00D4171A" w:rsidRDefault="00D4171A">
            <w:pPr>
              <w:pStyle w:val="TableText"/>
            </w:pPr>
          </w:p>
        </w:tc>
        <w:tc>
          <w:tcPr>
            <w:tcW w:w="4652" w:type="dxa"/>
            <w:gridSpan w:val="4"/>
          </w:tcPr>
          <w:p w14:paraId="7035D4AA" w14:textId="213B4572" w:rsidR="00D4171A" w:rsidRDefault="00D4171A" w:rsidP="00BB10F8">
            <w:pPr>
              <w:pStyle w:val="TableBlock"/>
              <w:numPr>
                <w:ilvl w:val="0"/>
                <w:numId w:val="24"/>
              </w:numPr>
              <w:tabs>
                <w:tab w:val="left" w:pos="624"/>
              </w:tabs>
            </w:pPr>
            <w:r w:rsidRPr="008865A8">
              <w:rPr>
                <w:rFonts w:hint="cs"/>
                <w:rtl/>
              </w:rPr>
              <w:t xml:space="preserve">על אף האמור בתקנה 86, </w:t>
            </w:r>
            <w:r>
              <w:rPr>
                <w:rFonts w:hint="cs"/>
                <w:rtl/>
              </w:rPr>
              <w:t xml:space="preserve">אחראי למתן שירות הכרחי - </w:t>
            </w:r>
          </w:p>
        </w:tc>
      </w:tr>
      <w:tr w:rsidR="00D4171A" w14:paraId="3CA5E9F5" w14:textId="77777777" w:rsidTr="00E94073">
        <w:trPr>
          <w:cantSplit/>
          <w:trHeight w:val="60"/>
        </w:trPr>
        <w:tc>
          <w:tcPr>
            <w:tcW w:w="1869" w:type="dxa"/>
          </w:tcPr>
          <w:p w14:paraId="304E0A89" w14:textId="77777777" w:rsidR="00D4171A" w:rsidRDefault="00D4171A">
            <w:pPr>
              <w:pStyle w:val="TableSideHeading"/>
            </w:pPr>
          </w:p>
        </w:tc>
        <w:tc>
          <w:tcPr>
            <w:tcW w:w="624" w:type="dxa"/>
          </w:tcPr>
          <w:p w14:paraId="3CF6EAA8" w14:textId="77777777" w:rsidR="00D4171A" w:rsidRDefault="00D4171A">
            <w:pPr>
              <w:pStyle w:val="TableText"/>
            </w:pPr>
          </w:p>
        </w:tc>
        <w:tc>
          <w:tcPr>
            <w:tcW w:w="624" w:type="dxa"/>
          </w:tcPr>
          <w:p w14:paraId="67951468" w14:textId="77777777" w:rsidR="00D4171A" w:rsidRDefault="00D4171A">
            <w:pPr>
              <w:pStyle w:val="TableText"/>
            </w:pPr>
          </w:p>
        </w:tc>
        <w:tc>
          <w:tcPr>
            <w:tcW w:w="624" w:type="dxa"/>
          </w:tcPr>
          <w:p w14:paraId="5D3CD0C4" w14:textId="77777777" w:rsidR="00D4171A" w:rsidRDefault="00D4171A">
            <w:pPr>
              <w:pStyle w:val="TableText"/>
            </w:pPr>
          </w:p>
        </w:tc>
        <w:tc>
          <w:tcPr>
            <w:tcW w:w="624" w:type="dxa"/>
          </w:tcPr>
          <w:p w14:paraId="0121DA21" w14:textId="77777777" w:rsidR="00D4171A" w:rsidRDefault="00D4171A">
            <w:pPr>
              <w:pStyle w:val="TableText"/>
            </w:pPr>
          </w:p>
        </w:tc>
        <w:tc>
          <w:tcPr>
            <w:tcW w:w="624" w:type="dxa"/>
          </w:tcPr>
          <w:p w14:paraId="0AB9DF2F" w14:textId="77777777" w:rsidR="00D4171A" w:rsidRDefault="00D4171A">
            <w:pPr>
              <w:pStyle w:val="TableText"/>
            </w:pPr>
          </w:p>
        </w:tc>
        <w:tc>
          <w:tcPr>
            <w:tcW w:w="685" w:type="dxa"/>
            <w:gridSpan w:val="2"/>
          </w:tcPr>
          <w:p w14:paraId="17B3D496" w14:textId="77777777" w:rsidR="00D4171A" w:rsidRDefault="00D4171A">
            <w:pPr>
              <w:pStyle w:val="TableText"/>
            </w:pPr>
          </w:p>
        </w:tc>
        <w:tc>
          <w:tcPr>
            <w:tcW w:w="3967" w:type="dxa"/>
            <w:gridSpan w:val="2"/>
          </w:tcPr>
          <w:p w14:paraId="68EF3A8C" w14:textId="51148CC3" w:rsidR="00D4171A" w:rsidRDefault="00D4171A" w:rsidP="00BB10F8">
            <w:pPr>
              <w:pStyle w:val="TableBlock"/>
              <w:numPr>
                <w:ilvl w:val="0"/>
                <w:numId w:val="28"/>
              </w:numPr>
              <w:tabs>
                <w:tab w:val="clear" w:pos="624"/>
              </w:tabs>
            </w:pPr>
            <w:r>
              <w:rPr>
                <w:rFonts w:hint="cs"/>
                <w:rtl/>
              </w:rPr>
              <w:t>לא יפתח אתר חדש למתן שירות לציבור בבניין שלגביו ניתן פטור מביצוע התאמת נגישות לפי תקנות הנגישות למקום ציבורי קיים או תקנות התכנון והבניה לפי הדין החל על אותו הבניין;</w:t>
            </w:r>
          </w:p>
        </w:tc>
      </w:tr>
      <w:tr w:rsidR="00D4171A" w14:paraId="7B18B365" w14:textId="77777777" w:rsidTr="00E94073">
        <w:trPr>
          <w:cantSplit/>
          <w:trHeight w:val="60"/>
        </w:trPr>
        <w:tc>
          <w:tcPr>
            <w:tcW w:w="1869" w:type="dxa"/>
          </w:tcPr>
          <w:p w14:paraId="440D3D1C" w14:textId="77777777" w:rsidR="00D4171A" w:rsidRDefault="00D4171A">
            <w:pPr>
              <w:pStyle w:val="TableSideHeading"/>
            </w:pPr>
          </w:p>
        </w:tc>
        <w:tc>
          <w:tcPr>
            <w:tcW w:w="624" w:type="dxa"/>
          </w:tcPr>
          <w:p w14:paraId="4AEE4498" w14:textId="77777777" w:rsidR="00D4171A" w:rsidRDefault="00D4171A" w:rsidP="003E2BD0">
            <w:pPr>
              <w:pStyle w:val="TableText"/>
            </w:pPr>
          </w:p>
        </w:tc>
        <w:tc>
          <w:tcPr>
            <w:tcW w:w="624" w:type="dxa"/>
          </w:tcPr>
          <w:p w14:paraId="31CA6ADD" w14:textId="77777777" w:rsidR="00D4171A" w:rsidRDefault="00D4171A">
            <w:pPr>
              <w:pStyle w:val="TableText"/>
            </w:pPr>
          </w:p>
        </w:tc>
        <w:tc>
          <w:tcPr>
            <w:tcW w:w="624" w:type="dxa"/>
          </w:tcPr>
          <w:p w14:paraId="3D726C7D" w14:textId="77777777" w:rsidR="00D4171A" w:rsidRDefault="00D4171A">
            <w:pPr>
              <w:pStyle w:val="TableText"/>
            </w:pPr>
          </w:p>
        </w:tc>
        <w:tc>
          <w:tcPr>
            <w:tcW w:w="624" w:type="dxa"/>
          </w:tcPr>
          <w:p w14:paraId="69B8C6D5" w14:textId="77777777" w:rsidR="00D4171A" w:rsidRDefault="00D4171A">
            <w:pPr>
              <w:pStyle w:val="TableText"/>
            </w:pPr>
          </w:p>
        </w:tc>
        <w:tc>
          <w:tcPr>
            <w:tcW w:w="624" w:type="dxa"/>
          </w:tcPr>
          <w:p w14:paraId="70B0C7E5" w14:textId="77777777" w:rsidR="00D4171A" w:rsidRDefault="00D4171A">
            <w:pPr>
              <w:pStyle w:val="TableText"/>
            </w:pPr>
          </w:p>
        </w:tc>
        <w:tc>
          <w:tcPr>
            <w:tcW w:w="685" w:type="dxa"/>
            <w:gridSpan w:val="2"/>
          </w:tcPr>
          <w:p w14:paraId="48F19952" w14:textId="09C113F3" w:rsidR="00D4171A" w:rsidRDefault="00D4171A">
            <w:pPr>
              <w:pStyle w:val="TableText"/>
            </w:pPr>
          </w:p>
        </w:tc>
        <w:tc>
          <w:tcPr>
            <w:tcW w:w="3967" w:type="dxa"/>
            <w:gridSpan w:val="2"/>
          </w:tcPr>
          <w:p w14:paraId="7793C5D0" w14:textId="4B10D22D" w:rsidR="00D4171A" w:rsidRDefault="00D4171A" w:rsidP="002340A4">
            <w:pPr>
              <w:pStyle w:val="TableBlock"/>
              <w:numPr>
                <w:ilvl w:val="0"/>
                <w:numId w:val="28"/>
              </w:numPr>
              <w:tabs>
                <w:tab w:val="clear" w:pos="624"/>
              </w:tabs>
              <w:rPr>
                <w:rtl/>
              </w:rPr>
            </w:pPr>
            <w:r>
              <w:rPr>
                <w:rFonts w:hint="cs"/>
                <w:rtl/>
              </w:rPr>
              <w:t xml:space="preserve">שמספק שירות לציבור בבניין שניתן לגביו פטור לפי תקנות בניין קיים או לפי תקנות התכנון והבניה </w:t>
            </w:r>
            <w:r>
              <w:rPr>
                <w:rtl/>
              </w:rPr>
              <w:t>–</w:t>
            </w:r>
            <w:r>
              <w:rPr>
                <w:rFonts w:hint="cs"/>
                <w:rtl/>
              </w:rPr>
              <w:t xml:space="preserve"> לא יוסיף לתת שירות לציבור בבניין שאין בו דרך נגישה, ואם עומד בית שימוש לשירות הציבור </w:t>
            </w:r>
            <w:r>
              <w:rPr>
                <w:rtl/>
              </w:rPr>
              <w:t>–</w:t>
            </w:r>
            <w:r>
              <w:rPr>
                <w:rFonts w:hint="cs"/>
                <w:rtl/>
              </w:rPr>
              <w:t xml:space="preserve"> שאין בו גם בית שימוש נגיש. במקום ציבורי קיים, יחולו הדרישות לדרך נגישה ובית שימוש נגיש, מה</w:t>
            </w:r>
            <w:r w:rsidRPr="008865A8">
              <w:rPr>
                <w:rFonts w:hint="cs"/>
                <w:rtl/>
              </w:rPr>
              <w:t xml:space="preserve">מועד </w:t>
            </w:r>
            <w:r>
              <w:rPr>
                <w:rFonts w:hint="cs"/>
                <w:rtl/>
              </w:rPr>
              <w:t>שבו חלה על הבניין חובת נגישות.</w:t>
            </w:r>
          </w:p>
        </w:tc>
      </w:tr>
      <w:tr w:rsidR="00D4171A" w14:paraId="413E41C7" w14:textId="77777777" w:rsidTr="00E94073">
        <w:trPr>
          <w:cantSplit/>
          <w:trHeight w:val="60"/>
        </w:trPr>
        <w:tc>
          <w:tcPr>
            <w:tcW w:w="1869" w:type="dxa"/>
          </w:tcPr>
          <w:p w14:paraId="7DA72D30" w14:textId="77777777" w:rsidR="00D4171A" w:rsidRDefault="00D4171A">
            <w:pPr>
              <w:pStyle w:val="TableSideHeading"/>
            </w:pPr>
          </w:p>
        </w:tc>
        <w:tc>
          <w:tcPr>
            <w:tcW w:w="624" w:type="dxa"/>
          </w:tcPr>
          <w:p w14:paraId="117D8240" w14:textId="77777777" w:rsidR="00D4171A" w:rsidRDefault="00D4171A" w:rsidP="00E165AC">
            <w:pPr>
              <w:pStyle w:val="TableText"/>
            </w:pPr>
          </w:p>
        </w:tc>
        <w:tc>
          <w:tcPr>
            <w:tcW w:w="624" w:type="dxa"/>
          </w:tcPr>
          <w:p w14:paraId="16FA95D0" w14:textId="77777777" w:rsidR="00D4171A" w:rsidRDefault="00D4171A">
            <w:pPr>
              <w:pStyle w:val="TableText"/>
            </w:pPr>
          </w:p>
        </w:tc>
        <w:tc>
          <w:tcPr>
            <w:tcW w:w="624" w:type="dxa"/>
          </w:tcPr>
          <w:p w14:paraId="265207C2" w14:textId="77777777" w:rsidR="00D4171A" w:rsidRDefault="00D4171A">
            <w:pPr>
              <w:pStyle w:val="TableText"/>
            </w:pPr>
          </w:p>
        </w:tc>
        <w:tc>
          <w:tcPr>
            <w:tcW w:w="624" w:type="dxa"/>
          </w:tcPr>
          <w:p w14:paraId="340063FC" w14:textId="77777777" w:rsidR="00D4171A" w:rsidRDefault="00D4171A">
            <w:pPr>
              <w:pStyle w:val="TableText"/>
            </w:pPr>
          </w:p>
        </w:tc>
        <w:tc>
          <w:tcPr>
            <w:tcW w:w="624" w:type="dxa"/>
          </w:tcPr>
          <w:p w14:paraId="0E089178" w14:textId="77777777" w:rsidR="00D4171A" w:rsidRDefault="00D4171A">
            <w:pPr>
              <w:pStyle w:val="TableText"/>
            </w:pPr>
          </w:p>
        </w:tc>
        <w:tc>
          <w:tcPr>
            <w:tcW w:w="685" w:type="dxa"/>
            <w:gridSpan w:val="2"/>
          </w:tcPr>
          <w:p w14:paraId="79C150AD" w14:textId="77777777" w:rsidR="00D4171A" w:rsidRDefault="00D4171A">
            <w:pPr>
              <w:pStyle w:val="TableText"/>
            </w:pPr>
          </w:p>
        </w:tc>
        <w:tc>
          <w:tcPr>
            <w:tcW w:w="3967" w:type="dxa"/>
            <w:gridSpan w:val="2"/>
          </w:tcPr>
          <w:p w14:paraId="084103DF" w14:textId="5821123B" w:rsidR="00D4171A" w:rsidRDefault="00D4171A" w:rsidP="00E94073">
            <w:pPr>
              <w:pStyle w:val="TableBlock"/>
              <w:numPr>
                <w:ilvl w:val="0"/>
                <w:numId w:val="28"/>
              </w:numPr>
              <w:rPr>
                <w:rtl/>
              </w:rPr>
            </w:pPr>
            <w:r w:rsidRPr="00F84B28">
              <w:rPr>
                <w:rtl/>
              </w:rPr>
              <w:t xml:space="preserve">על אף האמור </w:t>
            </w:r>
            <w:r>
              <w:rPr>
                <w:rFonts w:hint="cs"/>
                <w:rtl/>
              </w:rPr>
              <w:t>בפסקה (2) רשאי האחראי להמשיך לספק את השירות בבניין שלא מתקיימות בו הדרישות האמורות, אם קיבל לכך אישור מהנציב או מי מטעמו בהתאם לתקנת משנה (ג).</w:t>
            </w:r>
          </w:p>
        </w:tc>
      </w:tr>
      <w:tr w:rsidR="00D4171A" w14:paraId="4A46F6C0" w14:textId="77777777" w:rsidTr="00E94073">
        <w:trPr>
          <w:cantSplit/>
          <w:trHeight w:val="60"/>
        </w:trPr>
        <w:tc>
          <w:tcPr>
            <w:tcW w:w="1869" w:type="dxa"/>
          </w:tcPr>
          <w:p w14:paraId="0C6E38E0" w14:textId="77777777" w:rsidR="00D4171A" w:rsidRDefault="00D4171A">
            <w:pPr>
              <w:pStyle w:val="TableSideHeading"/>
            </w:pPr>
          </w:p>
        </w:tc>
        <w:tc>
          <w:tcPr>
            <w:tcW w:w="624" w:type="dxa"/>
          </w:tcPr>
          <w:p w14:paraId="7B88AB15" w14:textId="77777777" w:rsidR="00D4171A" w:rsidRDefault="00D4171A">
            <w:pPr>
              <w:pStyle w:val="TableText"/>
            </w:pPr>
          </w:p>
        </w:tc>
        <w:tc>
          <w:tcPr>
            <w:tcW w:w="624" w:type="dxa"/>
          </w:tcPr>
          <w:p w14:paraId="4518504C" w14:textId="77777777" w:rsidR="00D4171A" w:rsidRDefault="00D4171A">
            <w:pPr>
              <w:pStyle w:val="TableText"/>
            </w:pPr>
          </w:p>
        </w:tc>
        <w:tc>
          <w:tcPr>
            <w:tcW w:w="624" w:type="dxa"/>
          </w:tcPr>
          <w:p w14:paraId="50CD3D43" w14:textId="77777777" w:rsidR="00D4171A" w:rsidRDefault="00D4171A">
            <w:pPr>
              <w:pStyle w:val="TableText"/>
            </w:pPr>
          </w:p>
        </w:tc>
        <w:tc>
          <w:tcPr>
            <w:tcW w:w="624" w:type="dxa"/>
          </w:tcPr>
          <w:p w14:paraId="6CB42262" w14:textId="77777777" w:rsidR="00D4171A" w:rsidRDefault="00D4171A">
            <w:pPr>
              <w:pStyle w:val="TableText"/>
            </w:pPr>
          </w:p>
        </w:tc>
        <w:tc>
          <w:tcPr>
            <w:tcW w:w="624" w:type="dxa"/>
          </w:tcPr>
          <w:p w14:paraId="5597EAC8" w14:textId="77777777" w:rsidR="00D4171A" w:rsidRDefault="00D4171A">
            <w:pPr>
              <w:pStyle w:val="TableText"/>
            </w:pPr>
          </w:p>
        </w:tc>
        <w:tc>
          <w:tcPr>
            <w:tcW w:w="4652" w:type="dxa"/>
            <w:gridSpan w:val="4"/>
          </w:tcPr>
          <w:p w14:paraId="4016EB20" w14:textId="6AA6C699" w:rsidR="00D4171A" w:rsidRDefault="00D4171A" w:rsidP="00953502">
            <w:pPr>
              <w:pStyle w:val="TableBlock"/>
              <w:numPr>
                <w:ilvl w:val="0"/>
                <w:numId w:val="24"/>
              </w:numPr>
              <w:tabs>
                <w:tab w:val="left" w:pos="624"/>
              </w:tabs>
            </w:pPr>
            <w:r>
              <w:rPr>
                <w:rFonts w:hint="cs"/>
                <w:rtl/>
              </w:rPr>
              <w:t xml:space="preserve">הנציב </w:t>
            </w:r>
            <w:r w:rsidRPr="00F45028">
              <w:rPr>
                <w:rFonts w:hint="cs"/>
                <w:rtl/>
              </w:rPr>
              <w:t>או</w:t>
            </w:r>
            <w:r w:rsidRPr="00F45028">
              <w:rPr>
                <w:rtl/>
              </w:rPr>
              <w:t xml:space="preserve"> </w:t>
            </w:r>
            <w:r w:rsidRPr="00F45028">
              <w:rPr>
                <w:rFonts w:hint="cs"/>
                <w:rtl/>
              </w:rPr>
              <w:t>מי</w:t>
            </w:r>
            <w:r w:rsidRPr="00F45028">
              <w:rPr>
                <w:rtl/>
              </w:rPr>
              <w:t xml:space="preserve"> </w:t>
            </w:r>
            <w:r w:rsidRPr="00F45028">
              <w:rPr>
                <w:rFonts w:hint="cs"/>
                <w:rtl/>
              </w:rPr>
              <w:t>מטעמו</w:t>
            </w:r>
            <w:r>
              <w:rPr>
                <w:rFonts w:hint="cs"/>
                <w:rtl/>
              </w:rPr>
              <w:t xml:space="preserve"> </w:t>
            </w:r>
            <w:r w:rsidR="00E94073">
              <w:rPr>
                <w:rFonts w:hint="cs"/>
                <w:rtl/>
              </w:rPr>
              <w:t xml:space="preserve"> (להלן </w:t>
            </w:r>
            <w:r w:rsidR="00E94073">
              <w:rPr>
                <w:rtl/>
              </w:rPr>
              <w:t>–</w:t>
            </w:r>
            <w:r w:rsidR="00E94073">
              <w:rPr>
                <w:rFonts w:hint="cs"/>
                <w:rtl/>
              </w:rPr>
              <w:t xml:space="preserve"> נותן האישור) </w:t>
            </w:r>
            <w:r>
              <w:rPr>
                <w:rFonts w:hint="cs"/>
                <w:rtl/>
              </w:rPr>
              <w:t xml:space="preserve">רשאים לאשר את המשך מתן השירות בבניין שאינו מקיים את הדרישות האמורות </w:t>
            </w:r>
            <w:r w:rsidR="00953502">
              <w:rPr>
                <w:rFonts w:hint="cs"/>
                <w:rtl/>
              </w:rPr>
              <w:t>בתקנת משנה</w:t>
            </w:r>
            <w:r>
              <w:rPr>
                <w:rFonts w:hint="cs"/>
                <w:rtl/>
              </w:rPr>
              <w:t xml:space="preserve"> (ב), לפרק זמן של שלוש שנים וניתן לחדשו לתקופות נוספות, בהתקיים </w:t>
            </w:r>
            <w:r w:rsidR="00EF4D31">
              <w:rPr>
                <w:rFonts w:hint="cs"/>
                <w:rtl/>
              </w:rPr>
              <w:t>תנאי מבין המפורטים להלן, ובלבד שהשתכנע כי האחראי נקט באמצעים הדרושים כדי להבטיח שאדם עם מוגבלות יקבל את השירות באופן בטוח, נוח, מכובד ועצמאי ככל האפשר</w:t>
            </w:r>
            <w:r w:rsidR="00C84FBF">
              <w:rPr>
                <w:rFonts w:hint="cs"/>
                <w:rtl/>
              </w:rPr>
              <w:t xml:space="preserve"> ו</w:t>
            </w:r>
            <w:r w:rsidR="00EF4D31">
              <w:rPr>
                <w:rFonts w:hint="cs"/>
                <w:rtl/>
              </w:rPr>
              <w:t>באותה זמינות ואיכות המסופקת לכלל הציבור</w:t>
            </w:r>
            <w:r w:rsidRPr="00F45028">
              <w:rPr>
                <w:rtl/>
              </w:rPr>
              <w:t>:</w:t>
            </w:r>
            <w:r>
              <w:rPr>
                <w:rFonts w:hint="cs"/>
                <w:rtl/>
              </w:rPr>
              <w:t xml:space="preserve"> </w:t>
            </w:r>
          </w:p>
        </w:tc>
      </w:tr>
      <w:tr w:rsidR="00D4171A" w14:paraId="04AFFFC9" w14:textId="77777777" w:rsidTr="00E94073">
        <w:trPr>
          <w:cantSplit/>
          <w:trHeight w:val="60"/>
        </w:trPr>
        <w:tc>
          <w:tcPr>
            <w:tcW w:w="1869" w:type="dxa"/>
          </w:tcPr>
          <w:p w14:paraId="1F751292" w14:textId="77777777" w:rsidR="00D4171A" w:rsidRDefault="00D4171A">
            <w:pPr>
              <w:pStyle w:val="TableSideHeading"/>
            </w:pPr>
          </w:p>
        </w:tc>
        <w:tc>
          <w:tcPr>
            <w:tcW w:w="624" w:type="dxa"/>
          </w:tcPr>
          <w:p w14:paraId="69563750" w14:textId="77777777" w:rsidR="00D4171A" w:rsidRDefault="00D4171A">
            <w:pPr>
              <w:pStyle w:val="TableText"/>
            </w:pPr>
          </w:p>
        </w:tc>
        <w:tc>
          <w:tcPr>
            <w:tcW w:w="624" w:type="dxa"/>
          </w:tcPr>
          <w:p w14:paraId="2B94F4D2" w14:textId="77777777" w:rsidR="00D4171A" w:rsidRDefault="00D4171A">
            <w:pPr>
              <w:pStyle w:val="TableText"/>
            </w:pPr>
          </w:p>
        </w:tc>
        <w:tc>
          <w:tcPr>
            <w:tcW w:w="624" w:type="dxa"/>
          </w:tcPr>
          <w:p w14:paraId="0C80E054" w14:textId="77777777" w:rsidR="00D4171A" w:rsidRDefault="00D4171A">
            <w:pPr>
              <w:pStyle w:val="TableText"/>
            </w:pPr>
          </w:p>
        </w:tc>
        <w:tc>
          <w:tcPr>
            <w:tcW w:w="624" w:type="dxa"/>
          </w:tcPr>
          <w:p w14:paraId="472AA74B" w14:textId="77777777" w:rsidR="00D4171A" w:rsidRDefault="00D4171A">
            <w:pPr>
              <w:pStyle w:val="TableText"/>
            </w:pPr>
          </w:p>
        </w:tc>
        <w:tc>
          <w:tcPr>
            <w:tcW w:w="624" w:type="dxa"/>
          </w:tcPr>
          <w:p w14:paraId="4A60CB9A" w14:textId="77777777" w:rsidR="00D4171A" w:rsidRDefault="00D4171A">
            <w:pPr>
              <w:pStyle w:val="TableText"/>
            </w:pPr>
          </w:p>
        </w:tc>
        <w:tc>
          <w:tcPr>
            <w:tcW w:w="685" w:type="dxa"/>
            <w:gridSpan w:val="2"/>
          </w:tcPr>
          <w:p w14:paraId="7E6FA73C" w14:textId="77777777" w:rsidR="00D4171A" w:rsidRDefault="00D4171A">
            <w:pPr>
              <w:pStyle w:val="TableText"/>
            </w:pPr>
          </w:p>
        </w:tc>
        <w:tc>
          <w:tcPr>
            <w:tcW w:w="3967" w:type="dxa"/>
            <w:gridSpan w:val="2"/>
          </w:tcPr>
          <w:p w14:paraId="1C6FB644" w14:textId="6020AA57" w:rsidR="00D4171A" w:rsidRDefault="00D4171A" w:rsidP="00E94073">
            <w:pPr>
              <w:pStyle w:val="TableBlock"/>
              <w:numPr>
                <w:ilvl w:val="0"/>
                <w:numId w:val="38"/>
              </w:numPr>
              <w:tabs>
                <w:tab w:val="clear" w:pos="624"/>
              </w:tabs>
            </w:pPr>
            <w:r>
              <w:rPr>
                <w:rFonts w:hint="cs"/>
                <w:rtl/>
              </w:rPr>
              <w:t xml:space="preserve">קיימת תכנית להעברת </w:t>
            </w:r>
            <w:r w:rsidRPr="00F84B28">
              <w:rPr>
                <w:rtl/>
              </w:rPr>
              <w:t xml:space="preserve">השירות </w:t>
            </w:r>
            <w:r>
              <w:rPr>
                <w:rFonts w:hint="cs"/>
                <w:rtl/>
              </w:rPr>
              <w:t>בתוך שלוש שנים</w:t>
            </w:r>
            <w:r w:rsidR="00E94073">
              <w:rPr>
                <w:rFonts w:hint="cs"/>
                <w:rtl/>
              </w:rPr>
              <w:t>;</w:t>
            </w:r>
          </w:p>
        </w:tc>
      </w:tr>
      <w:tr w:rsidR="00E94073" w14:paraId="54FD535A" w14:textId="77777777" w:rsidTr="00E94073">
        <w:trPr>
          <w:cantSplit/>
          <w:trHeight w:val="60"/>
        </w:trPr>
        <w:tc>
          <w:tcPr>
            <w:tcW w:w="1869" w:type="dxa"/>
          </w:tcPr>
          <w:p w14:paraId="368C9CAB" w14:textId="77777777" w:rsidR="00E94073" w:rsidRDefault="00E94073">
            <w:pPr>
              <w:pStyle w:val="TableSideHeading"/>
            </w:pPr>
          </w:p>
        </w:tc>
        <w:tc>
          <w:tcPr>
            <w:tcW w:w="624" w:type="dxa"/>
          </w:tcPr>
          <w:p w14:paraId="4B632150" w14:textId="77777777" w:rsidR="00E94073" w:rsidRDefault="00E94073" w:rsidP="00E94073">
            <w:pPr>
              <w:pStyle w:val="TableText"/>
            </w:pPr>
          </w:p>
        </w:tc>
        <w:tc>
          <w:tcPr>
            <w:tcW w:w="624" w:type="dxa"/>
          </w:tcPr>
          <w:p w14:paraId="3501E80F" w14:textId="77777777" w:rsidR="00E94073" w:rsidRDefault="00E94073">
            <w:pPr>
              <w:pStyle w:val="TableText"/>
            </w:pPr>
          </w:p>
        </w:tc>
        <w:tc>
          <w:tcPr>
            <w:tcW w:w="624" w:type="dxa"/>
          </w:tcPr>
          <w:p w14:paraId="253053CE" w14:textId="77777777" w:rsidR="00E94073" w:rsidRDefault="00E94073">
            <w:pPr>
              <w:pStyle w:val="TableText"/>
            </w:pPr>
          </w:p>
        </w:tc>
        <w:tc>
          <w:tcPr>
            <w:tcW w:w="624" w:type="dxa"/>
          </w:tcPr>
          <w:p w14:paraId="4A0BBCD5" w14:textId="77777777" w:rsidR="00E94073" w:rsidRDefault="00E94073">
            <w:pPr>
              <w:pStyle w:val="TableText"/>
            </w:pPr>
          </w:p>
        </w:tc>
        <w:tc>
          <w:tcPr>
            <w:tcW w:w="624" w:type="dxa"/>
          </w:tcPr>
          <w:p w14:paraId="3F581DA8" w14:textId="77777777" w:rsidR="00E94073" w:rsidRDefault="00E94073">
            <w:pPr>
              <w:pStyle w:val="TableText"/>
            </w:pPr>
          </w:p>
        </w:tc>
        <w:tc>
          <w:tcPr>
            <w:tcW w:w="685" w:type="dxa"/>
            <w:gridSpan w:val="2"/>
          </w:tcPr>
          <w:p w14:paraId="32768D8C" w14:textId="77777777" w:rsidR="00E94073" w:rsidRDefault="00E94073">
            <w:pPr>
              <w:pStyle w:val="TableText"/>
            </w:pPr>
          </w:p>
        </w:tc>
        <w:tc>
          <w:tcPr>
            <w:tcW w:w="3967" w:type="dxa"/>
            <w:gridSpan w:val="2"/>
          </w:tcPr>
          <w:p w14:paraId="092113B2" w14:textId="25B61AF2" w:rsidR="00E94073" w:rsidRDefault="00E94073" w:rsidP="00C84FBF">
            <w:pPr>
              <w:pStyle w:val="TableBlock"/>
              <w:numPr>
                <w:ilvl w:val="0"/>
                <w:numId w:val="38"/>
              </w:numPr>
              <w:tabs>
                <w:tab w:val="clear" w:pos="624"/>
              </w:tabs>
              <w:rPr>
                <w:rtl/>
              </w:rPr>
            </w:pPr>
            <w:r>
              <w:rPr>
                <w:rFonts w:hint="cs"/>
                <w:rtl/>
              </w:rPr>
              <w:t>קיימים טעמים מיוחדים המצדיקים את המשך השימוש במקום. בין היתר ישקול נותן האישור את השיקולים הבאים:</w:t>
            </w:r>
          </w:p>
        </w:tc>
      </w:tr>
      <w:tr w:rsidR="00D4171A" w14:paraId="3DF758E8" w14:textId="77777777" w:rsidTr="00E94073">
        <w:trPr>
          <w:cantSplit/>
          <w:trHeight w:val="60"/>
        </w:trPr>
        <w:tc>
          <w:tcPr>
            <w:tcW w:w="1869" w:type="dxa"/>
          </w:tcPr>
          <w:p w14:paraId="6EF47485" w14:textId="77777777" w:rsidR="00D4171A" w:rsidRDefault="00D4171A">
            <w:pPr>
              <w:pStyle w:val="TableSideHeading"/>
            </w:pPr>
          </w:p>
        </w:tc>
        <w:tc>
          <w:tcPr>
            <w:tcW w:w="624" w:type="dxa"/>
          </w:tcPr>
          <w:p w14:paraId="3326FC7E" w14:textId="77777777" w:rsidR="00D4171A" w:rsidRDefault="00D4171A">
            <w:pPr>
              <w:pStyle w:val="TableText"/>
            </w:pPr>
          </w:p>
        </w:tc>
        <w:tc>
          <w:tcPr>
            <w:tcW w:w="624" w:type="dxa"/>
          </w:tcPr>
          <w:p w14:paraId="79B13015" w14:textId="77777777" w:rsidR="00D4171A" w:rsidRDefault="00D4171A">
            <w:pPr>
              <w:pStyle w:val="TableText"/>
            </w:pPr>
          </w:p>
        </w:tc>
        <w:tc>
          <w:tcPr>
            <w:tcW w:w="624" w:type="dxa"/>
          </w:tcPr>
          <w:p w14:paraId="1D8E8C51" w14:textId="77777777" w:rsidR="00D4171A" w:rsidRDefault="00D4171A">
            <w:pPr>
              <w:pStyle w:val="TableText"/>
            </w:pPr>
          </w:p>
        </w:tc>
        <w:tc>
          <w:tcPr>
            <w:tcW w:w="624" w:type="dxa"/>
          </w:tcPr>
          <w:p w14:paraId="00A9CE7B" w14:textId="77777777" w:rsidR="00D4171A" w:rsidRDefault="00D4171A">
            <w:pPr>
              <w:pStyle w:val="TableText"/>
              <w:rPr>
                <w:rtl/>
              </w:rPr>
            </w:pPr>
          </w:p>
        </w:tc>
        <w:tc>
          <w:tcPr>
            <w:tcW w:w="624" w:type="dxa"/>
          </w:tcPr>
          <w:p w14:paraId="0D62EA00" w14:textId="77777777" w:rsidR="00D4171A" w:rsidRDefault="00D4171A">
            <w:pPr>
              <w:pStyle w:val="TableText"/>
            </w:pPr>
          </w:p>
        </w:tc>
        <w:tc>
          <w:tcPr>
            <w:tcW w:w="685" w:type="dxa"/>
            <w:gridSpan w:val="2"/>
          </w:tcPr>
          <w:p w14:paraId="26B7C703" w14:textId="77777777" w:rsidR="00D4171A" w:rsidRDefault="00D4171A">
            <w:pPr>
              <w:pStyle w:val="TableText"/>
            </w:pPr>
          </w:p>
        </w:tc>
        <w:tc>
          <w:tcPr>
            <w:tcW w:w="567" w:type="dxa"/>
          </w:tcPr>
          <w:p w14:paraId="735A883B" w14:textId="77777777" w:rsidR="00D4171A" w:rsidRDefault="00D4171A">
            <w:pPr>
              <w:pStyle w:val="TableText"/>
            </w:pPr>
          </w:p>
        </w:tc>
        <w:tc>
          <w:tcPr>
            <w:tcW w:w="3400" w:type="dxa"/>
          </w:tcPr>
          <w:p w14:paraId="4BDED0A6" w14:textId="07851633" w:rsidR="00D4171A" w:rsidRPr="00924BE9" w:rsidRDefault="00D4171A" w:rsidP="005E1F57">
            <w:pPr>
              <w:pStyle w:val="TableBlock"/>
              <w:numPr>
                <w:ilvl w:val="0"/>
                <w:numId w:val="30"/>
              </w:numPr>
            </w:pPr>
            <w:r w:rsidRPr="0046618F">
              <w:rPr>
                <w:rFonts w:hint="cs"/>
                <w:rtl/>
              </w:rPr>
              <w:t>אופי</w:t>
            </w:r>
            <w:r w:rsidRPr="0046618F">
              <w:rPr>
                <w:rtl/>
              </w:rPr>
              <w:t xml:space="preserve"> </w:t>
            </w:r>
            <w:r w:rsidRPr="0046618F">
              <w:rPr>
                <w:rFonts w:hint="cs"/>
                <w:rtl/>
              </w:rPr>
              <w:t>השירות</w:t>
            </w:r>
            <w:r w:rsidRPr="0046618F">
              <w:rPr>
                <w:rtl/>
              </w:rPr>
              <w:t xml:space="preserve"> </w:t>
            </w:r>
            <w:r w:rsidRPr="0046618F">
              <w:rPr>
                <w:rFonts w:hint="cs"/>
                <w:rtl/>
              </w:rPr>
              <w:t>או</w:t>
            </w:r>
            <w:r w:rsidRPr="0046618F">
              <w:rPr>
                <w:rtl/>
              </w:rPr>
              <w:t xml:space="preserve"> </w:t>
            </w:r>
            <w:r w:rsidRPr="0046618F">
              <w:rPr>
                <w:rFonts w:hint="cs"/>
                <w:rtl/>
              </w:rPr>
              <w:t>המקום</w:t>
            </w:r>
            <w:r w:rsidRPr="0046618F">
              <w:rPr>
                <w:rtl/>
              </w:rPr>
              <w:t xml:space="preserve"> </w:t>
            </w:r>
            <w:r w:rsidRPr="0046618F">
              <w:rPr>
                <w:rFonts w:hint="cs"/>
                <w:rtl/>
              </w:rPr>
              <w:t>בו</w:t>
            </w:r>
            <w:r w:rsidRPr="0046618F">
              <w:rPr>
                <w:rtl/>
              </w:rPr>
              <w:t xml:space="preserve"> </w:t>
            </w:r>
            <w:r w:rsidRPr="0046618F">
              <w:rPr>
                <w:rFonts w:hint="cs"/>
                <w:rtl/>
              </w:rPr>
              <w:t>הוא</w:t>
            </w:r>
            <w:r w:rsidRPr="0046618F">
              <w:rPr>
                <w:rtl/>
              </w:rPr>
              <w:t xml:space="preserve"> </w:t>
            </w:r>
            <w:r w:rsidRPr="0046618F">
              <w:rPr>
                <w:rFonts w:hint="cs"/>
                <w:rtl/>
              </w:rPr>
              <w:t>ניתן</w:t>
            </w:r>
            <w:r w:rsidRPr="0046618F">
              <w:rPr>
                <w:rtl/>
              </w:rPr>
              <w:t xml:space="preserve">, </w:t>
            </w:r>
            <w:r>
              <w:rPr>
                <w:rFonts w:hint="cs"/>
                <w:rtl/>
              </w:rPr>
              <w:t xml:space="preserve">ובכלל זה </w:t>
            </w:r>
            <w:r w:rsidRPr="0046618F">
              <w:rPr>
                <w:rFonts w:hint="cs"/>
                <w:rtl/>
              </w:rPr>
              <w:t>שירות</w:t>
            </w:r>
            <w:r w:rsidRPr="0046618F">
              <w:rPr>
                <w:rtl/>
              </w:rPr>
              <w:t xml:space="preserve"> </w:t>
            </w:r>
            <w:r w:rsidRPr="0046618F">
              <w:rPr>
                <w:rFonts w:hint="cs"/>
                <w:rtl/>
              </w:rPr>
              <w:t>שאופיו</w:t>
            </w:r>
            <w:r w:rsidRPr="0046618F">
              <w:rPr>
                <w:rtl/>
              </w:rPr>
              <w:t xml:space="preserve"> </w:t>
            </w:r>
            <w:r w:rsidRPr="0046618F">
              <w:rPr>
                <w:rFonts w:hint="cs"/>
                <w:rtl/>
              </w:rPr>
              <w:t>או</w:t>
            </w:r>
            <w:r w:rsidRPr="0046618F">
              <w:rPr>
                <w:rtl/>
              </w:rPr>
              <w:t xml:space="preserve"> </w:t>
            </w:r>
            <w:r w:rsidRPr="0046618F">
              <w:rPr>
                <w:rFonts w:hint="cs"/>
                <w:rtl/>
              </w:rPr>
              <w:t>טבעו</w:t>
            </w:r>
            <w:r w:rsidRPr="0046618F">
              <w:rPr>
                <w:rtl/>
              </w:rPr>
              <w:t xml:space="preserve"> </w:t>
            </w:r>
            <w:r w:rsidRPr="0046618F">
              <w:rPr>
                <w:rFonts w:hint="cs"/>
                <w:rtl/>
              </w:rPr>
              <w:t>מחייב</w:t>
            </w:r>
            <w:r w:rsidRPr="0046618F">
              <w:rPr>
                <w:rtl/>
              </w:rPr>
              <w:t xml:space="preserve"> </w:t>
            </w:r>
            <w:r w:rsidRPr="0046618F">
              <w:rPr>
                <w:rFonts w:hint="cs"/>
                <w:rtl/>
              </w:rPr>
              <w:t>הספקתו</w:t>
            </w:r>
            <w:r w:rsidRPr="0046618F">
              <w:rPr>
                <w:rtl/>
              </w:rPr>
              <w:t xml:space="preserve"> </w:t>
            </w:r>
            <w:r w:rsidRPr="0046618F">
              <w:rPr>
                <w:rFonts w:hint="cs"/>
                <w:rtl/>
              </w:rPr>
              <w:t>במקום</w:t>
            </w:r>
            <w:r>
              <w:rPr>
                <w:rFonts w:hint="cs"/>
                <w:rtl/>
              </w:rPr>
              <w:t xml:space="preserve"> </w:t>
            </w:r>
            <w:r w:rsidRPr="0046618F">
              <w:rPr>
                <w:rFonts w:hint="cs"/>
                <w:rtl/>
              </w:rPr>
              <w:t>האמור</w:t>
            </w:r>
            <w:r>
              <w:rPr>
                <w:rFonts w:hint="cs"/>
                <w:rtl/>
              </w:rPr>
              <w:t xml:space="preserve"> </w:t>
            </w:r>
            <w:r w:rsidRPr="0046618F">
              <w:rPr>
                <w:rFonts w:hint="cs"/>
                <w:rtl/>
              </w:rPr>
              <w:t>בשל</w:t>
            </w:r>
            <w:r w:rsidRPr="0046618F">
              <w:rPr>
                <w:rtl/>
              </w:rPr>
              <w:t xml:space="preserve"> </w:t>
            </w:r>
            <w:r w:rsidRPr="0046618F">
              <w:rPr>
                <w:rFonts w:hint="cs"/>
                <w:rtl/>
              </w:rPr>
              <w:t>ערכו</w:t>
            </w:r>
            <w:r w:rsidRPr="0046618F">
              <w:rPr>
                <w:rtl/>
              </w:rPr>
              <w:t xml:space="preserve"> </w:t>
            </w:r>
            <w:r w:rsidRPr="0046618F">
              <w:rPr>
                <w:rFonts w:hint="cs"/>
                <w:rtl/>
              </w:rPr>
              <w:t>הה</w:t>
            </w:r>
            <w:r>
              <w:rPr>
                <w:rFonts w:hint="cs"/>
                <w:rtl/>
              </w:rPr>
              <w:t>י</w:t>
            </w:r>
            <w:r w:rsidRPr="0046618F">
              <w:rPr>
                <w:rFonts w:hint="cs"/>
                <w:rtl/>
              </w:rPr>
              <w:t>סטורי</w:t>
            </w:r>
            <w:r w:rsidRPr="0046618F">
              <w:rPr>
                <w:rtl/>
              </w:rPr>
              <w:t xml:space="preserve">, </w:t>
            </w:r>
            <w:r w:rsidRPr="0046618F">
              <w:rPr>
                <w:rFonts w:hint="cs"/>
                <w:rtl/>
              </w:rPr>
              <w:t>האדריכלי</w:t>
            </w:r>
            <w:r w:rsidRPr="0046618F">
              <w:rPr>
                <w:rtl/>
              </w:rPr>
              <w:t xml:space="preserve"> </w:t>
            </w:r>
            <w:r w:rsidRPr="0046618F">
              <w:rPr>
                <w:rFonts w:hint="cs"/>
                <w:rtl/>
              </w:rPr>
              <w:t>או</w:t>
            </w:r>
            <w:r w:rsidRPr="0046618F">
              <w:rPr>
                <w:rtl/>
              </w:rPr>
              <w:t xml:space="preserve"> </w:t>
            </w:r>
            <w:r>
              <w:rPr>
                <w:rFonts w:hint="cs"/>
                <w:rtl/>
              </w:rPr>
              <w:t>ה</w:t>
            </w:r>
            <w:r w:rsidRPr="0046618F">
              <w:rPr>
                <w:rFonts w:hint="cs"/>
                <w:rtl/>
              </w:rPr>
              <w:t>אחר</w:t>
            </w:r>
            <w:r w:rsidRPr="0046618F">
              <w:rPr>
                <w:rtl/>
              </w:rPr>
              <w:t xml:space="preserve"> </w:t>
            </w:r>
            <w:r w:rsidRPr="0046618F">
              <w:rPr>
                <w:rFonts w:hint="cs"/>
                <w:rtl/>
              </w:rPr>
              <w:t>של</w:t>
            </w:r>
            <w:r w:rsidRPr="0046618F">
              <w:rPr>
                <w:rtl/>
              </w:rPr>
              <w:t xml:space="preserve"> </w:t>
            </w:r>
            <w:r w:rsidRPr="0046618F">
              <w:rPr>
                <w:rFonts w:hint="cs"/>
                <w:rtl/>
              </w:rPr>
              <w:t>המקום</w:t>
            </w:r>
            <w:r w:rsidRPr="0046618F">
              <w:rPr>
                <w:rtl/>
              </w:rPr>
              <w:t xml:space="preserve"> </w:t>
            </w:r>
            <w:r w:rsidRPr="0046618F">
              <w:rPr>
                <w:rFonts w:hint="cs"/>
                <w:rtl/>
              </w:rPr>
              <w:t>או</w:t>
            </w:r>
            <w:r w:rsidRPr="0046618F">
              <w:rPr>
                <w:rtl/>
              </w:rPr>
              <w:t xml:space="preserve"> </w:t>
            </w:r>
            <w:r w:rsidRPr="0046618F">
              <w:rPr>
                <w:rFonts w:hint="cs"/>
                <w:rtl/>
              </w:rPr>
              <w:t>השירות</w:t>
            </w:r>
            <w:r w:rsidRPr="0046618F">
              <w:rPr>
                <w:rtl/>
              </w:rPr>
              <w:t>;</w:t>
            </w:r>
          </w:p>
        </w:tc>
      </w:tr>
      <w:tr w:rsidR="00D4171A" w14:paraId="04EFFC94" w14:textId="77777777" w:rsidTr="00E94073">
        <w:trPr>
          <w:cantSplit/>
          <w:trHeight w:val="60"/>
        </w:trPr>
        <w:tc>
          <w:tcPr>
            <w:tcW w:w="1869" w:type="dxa"/>
          </w:tcPr>
          <w:p w14:paraId="17D211EB" w14:textId="77777777" w:rsidR="00D4171A" w:rsidRDefault="00D4171A">
            <w:pPr>
              <w:pStyle w:val="TableSideHeading"/>
            </w:pPr>
          </w:p>
        </w:tc>
        <w:tc>
          <w:tcPr>
            <w:tcW w:w="624" w:type="dxa"/>
          </w:tcPr>
          <w:p w14:paraId="710630DF" w14:textId="77777777" w:rsidR="00D4171A" w:rsidRDefault="00D4171A" w:rsidP="005E1F57">
            <w:pPr>
              <w:pStyle w:val="TableText"/>
            </w:pPr>
          </w:p>
        </w:tc>
        <w:tc>
          <w:tcPr>
            <w:tcW w:w="624" w:type="dxa"/>
          </w:tcPr>
          <w:p w14:paraId="158DC650" w14:textId="77777777" w:rsidR="00D4171A" w:rsidRDefault="00D4171A">
            <w:pPr>
              <w:pStyle w:val="TableText"/>
            </w:pPr>
          </w:p>
        </w:tc>
        <w:tc>
          <w:tcPr>
            <w:tcW w:w="624" w:type="dxa"/>
          </w:tcPr>
          <w:p w14:paraId="7AFDA2BB" w14:textId="77777777" w:rsidR="00D4171A" w:rsidRDefault="00D4171A">
            <w:pPr>
              <w:pStyle w:val="TableText"/>
            </w:pPr>
          </w:p>
        </w:tc>
        <w:tc>
          <w:tcPr>
            <w:tcW w:w="624" w:type="dxa"/>
          </w:tcPr>
          <w:p w14:paraId="6F58DE8F" w14:textId="77777777" w:rsidR="00D4171A" w:rsidRDefault="00D4171A">
            <w:pPr>
              <w:pStyle w:val="TableText"/>
              <w:rPr>
                <w:rtl/>
              </w:rPr>
            </w:pPr>
          </w:p>
        </w:tc>
        <w:tc>
          <w:tcPr>
            <w:tcW w:w="624" w:type="dxa"/>
          </w:tcPr>
          <w:p w14:paraId="3F5F131A" w14:textId="77777777" w:rsidR="00D4171A" w:rsidRDefault="00D4171A">
            <w:pPr>
              <w:pStyle w:val="TableText"/>
            </w:pPr>
          </w:p>
        </w:tc>
        <w:tc>
          <w:tcPr>
            <w:tcW w:w="685" w:type="dxa"/>
            <w:gridSpan w:val="2"/>
          </w:tcPr>
          <w:p w14:paraId="3D6CAFBA" w14:textId="77777777" w:rsidR="00D4171A" w:rsidRDefault="00D4171A">
            <w:pPr>
              <w:pStyle w:val="TableText"/>
            </w:pPr>
          </w:p>
        </w:tc>
        <w:tc>
          <w:tcPr>
            <w:tcW w:w="567" w:type="dxa"/>
          </w:tcPr>
          <w:p w14:paraId="0D9E3FE6" w14:textId="77777777" w:rsidR="00D4171A" w:rsidRDefault="00D4171A">
            <w:pPr>
              <w:pStyle w:val="TableText"/>
            </w:pPr>
          </w:p>
        </w:tc>
        <w:tc>
          <w:tcPr>
            <w:tcW w:w="3400" w:type="dxa"/>
          </w:tcPr>
          <w:p w14:paraId="0B061F6B" w14:textId="5F2A49DA" w:rsidR="00D4171A" w:rsidRPr="0046618F" w:rsidRDefault="00E94073" w:rsidP="00E94073">
            <w:pPr>
              <w:pStyle w:val="TableBlock"/>
              <w:numPr>
                <w:ilvl w:val="0"/>
                <w:numId w:val="30"/>
              </w:numPr>
              <w:tabs>
                <w:tab w:val="left" w:pos="624"/>
              </w:tabs>
              <w:rPr>
                <w:rtl/>
              </w:rPr>
            </w:pPr>
            <w:r>
              <w:rPr>
                <w:rFonts w:hint="cs"/>
                <w:rtl/>
              </w:rPr>
              <w:t xml:space="preserve">סוג </w:t>
            </w:r>
            <w:r w:rsidR="00D4171A" w:rsidRPr="005E1F57">
              <w:rPr>
                <w:rFonts w:hint="cs"/>
                <w:rtl/>
              </w:rPr>
              <w:t>השירות</w:t>
            </w:r>
            <w:r w:rsidR="00D4171A" w:rsidRPr="005E1F57">
              <w:rPr>
                <w:rtl/>
              </w:rPr>
              <w:t xml:space="preserve"> </w:t>
            </w:r>
            <w:r w:rsidR="00D4171A" w:rsidRPr="005E1F57">
              <w:rPr>
                <w:rFonts w:hint="cs"/>
                <w:rtl/>
              </w:rPr>
              <w:t>הניתן</w:t>
            </w:r>
            <w:r w:rsidR="00D4171A" w:rsidRPr="005E1F57">
              <w:rPr>
                <w:rtl/>
              </w:rPr>
              <w:t xml:space="preserve"> </w:t>
            </w:r>
            <w:r w:rsidR="00D4171A" w:rsidRPr="005E1F57">
              <w:rPr>
                <w:rFonts w:hint="cs"/>
                <w:rtl/>
              </w:rPr>
              <w:t>במקום</w:t>
            </w:r>
            <w:r w:rsidR="00D4171A" w:rsidRPr="005E1F57">
              <w:rPr>
                <w:rtl/>
              </w:rPr>
              <w:t xml:space="preserve">, </w:t>
            </w:r>
            <w:r w:rsidR="00D4171A">
              <w:rPr>
                <w:rFonts w:hint="cs"/>
                <w:rtl/>
              </w:rPr>
              <w:t>ו</w:t>
            </w:r>
            <w:r w:rsidR="00D4171A" w:rsidRPr="005E1F57">
              <w:rPr>
                <w:rFonts w:hint="cs"/>
                <w:rtl/>
              </w:rPr>
              <w:t>היקף</w:t>
            </w:r>
            <w:r w:rsidR="00D4171A" w:rsidRPr="005E1F57">
              <w:rPr>
                <w:rtl/>
              </w:rPr>
              <w:t xml:space="preserve"> </w:t>
            </w:r>
            <w:r w:rsidR="00D4171A" w:rsidRPr="005E1F57">
              <w:rPr>
                <w:rFonts w:hint="cs"/>
                <w:rtl/>
              </w:rPr>
              <w:t>האוכלוס</w:t>
            </w:r>
            <w:r>
              <w:rPr>
                <w:rFonts w:hint="cs"/>
                <w:rtl/>
              </w:rPr>
              <w:t>י</w:t>
            </w:r>
            <w:r w:rsidR="00D4171A" w:rsidRPr="005E1F57">
              <w:rPr>
                <w:rFonts w:hint="cs"/>
                <w:rtl/>
              </w:rPr>
              <w:t>יה</w:t>
            </w:r>
            <w:r w:rsidR="00D4171A" w:rsidRPr="005E1F57">
              <w:rPr>
                <w:rtl/>
              </w:rPr>
              <w:t xml:space="preserve"> </w:t>
            </w:r>
            <w:r w:rsidR="00D4171A" w:rsidRPr="005E1F57">
              <w:rPr>
                <w:rFonts w:hint="cs"/>
                <w:rtl/>
              </w:rPr>
              <w:t>המקבלת</w:t>
            </w:r>
            <w:r w:rsidR="00D4171A" w:rsidRPr="005E1F57">
              <w:rPr>
                <w:rtl/>
              </w:rPr>
              <w:t xml:space="preserve"> </w:t>
            </w:r>
            <w:r w:rsidR="00D4171A" w:rsidRPr="005E1F57">
              <w:rPr>
                <w:rFonts w:hint="cs"/>
                <w:rtl/>
              </w:rPr>
              <w:t>שירות</w:t>
            </w:r>
            <w:r w:rsidR="00D4171A" w:rsidRPr="005E1F57">
              <w:rPr>
                <w:rtl/>
              </w:rPr>
              <w:t xml:space="preserve"> </w:t>
            </w:r>
            <w:r w:rsidR="00D4171A" w:rsidRPr="005E1F57">
              <w:rPr>
                <w:rFonts w:hint="cs"/>
                <w:rtl/>
              </w:rPr>
              <w:t>במקום</w:t>
            </w:r>
            <w:r w:rsidR="00D4171A" w:rsidRPr="005E1F57">
              <w:rPr>
                <w:rtl/>
              </w:rPr>
              <w:t xml:space="preserve"> </w:t>
            </w:r>
            <w:r w:rsidR="00D4171A" w:rsidRPr="005E1F57">
              <w:rPr>
                <w:rFonts w:hint="cs"/>
                <w:rtl/>
              </w:rPr>
              <w:t>זה</w:t>
            </w:r>
            <w:r w:rsidR="00D4171A">
              <w:rPr>
                <w:rFonts w:hint="cs"/>
                <w:rtl/>
              </w:rPr>
              <w:t>;</w:t>
            </w:r>
          </w:p>
        </w:tc>
      </w:tr>
      <w:tr w:rsidR="00D4171A" w14:paraId="4CDD15C1" w14:textId="77777777" w:rsidTr="00E94073">
        <w:trPr>
          <w:cantSplit/>
          <w:trHeight w:val="60"/>
        </w:trPr>
        <w:tc>
          <w:tcPr>
            <w:tcW w:w="1869" w:type="dxa"/>
          </w:tcPr>
          <w:p w14:paraId="67617A1F" w14:textId="77777777" w:rsidR="00D4171A" w:rsidRDefault="00D4171A">
            <w:pPr>
              <w:pStyle w:val="TableSideHeading"/>
            </w:pPr>
          </w:p>
        </w:tc>
        <w:tc>
          <w:tcPr>
            <w:tcW w:w="624" w:type="dxa"/>
          </w:tcPr>
          <w:p w14:paraId="2196E6D5" w14:textId="77777777" w:rsidR="00D4171A" w:rsidRDefault="00D4171A" w:rsidP="00982EC5">
            <w:pPr>
              <w:pStyle w:val="TableText"/>
            </w:pPr>
          </w:p>
        </w:tc>
        <w:tc>
          <w:tcPr>
            <w:tcW w:w="624" w:type="dxa"/>
          </w:tcPr>
          <w:p w14:paraId="35223E9D" w14:textId="77777777" w:rsidR="00D4171A" w:rsidRDefault="00D4171A">
            <w:pPr>
              <w:pStyle w:val="TableText"/>
            </w:pPr>
          </w:p>
        </w:tc>
        <w:tc>
          <w:tcPr>
            <w:tcW w:w="624" w:type="dxa"/>
          </w:tcPr>
          <w:p w14:paraId="7DC8E094" w14:textId="77777777" w:rsidR="00D4171A" w:rsidRDefault="00D4171A">
            <w:pPr>
              <w:pStyle w:val="TableText"/>
            </w:pPr>
          </w:p>
        </w:tc>
        <w:tc>
          <w:tcPr>
            <w:tcW w:w="624" w:type="dxa"/>
          </w:tcPr>
          <w:p w14:paraId="1E5C7BEA" w14:textId="77777777" w:rsidR="00D4171A" w:rsidRDefault="00D4171A">
            <w:pPr>
              <w:pStyle w:val="TableText"/>
            </w:pPr>
          </w:p>
        </w:tc>
        <w:tc>
          <w:tcPr>
            <w:tcW w:w="624" w:type="dxa"/>
          </w:tcPr>
          <w:p w14:paraId="5D0A7415" w14:textId="77777777" w:rsidR="00D4171A" w:rsidRDefault="00D4171A">
            <w:pPr>
              <w:pStyle w:val="TableText"/>
            </w:pPr>
          </w:p>
        </w:tc>
        <w:tc>
          <w:tcPr>
            <w:tcW w:w="624" w:type="dxa"/>
          </w:tcPr>
          <w:p w14:paraId="75142CAE" w14:textId="77777777" w:rsidR="00D4171A" w:rsidRDefault="00D4171A">
            <w:pPr>
              <w:pStyle w:val="TableText"/>
            </w:pPr>
          </w:p>
        </w:tc>
        <w:tc>
          <w:tcPr>
            <w:tcW w:w="628" w:type="dxa"/>
            <w:gridSpan w:val="2"/>
          </w:tcPr>
          <w:p w14:paraId="2203145C" w14:textId="77777777" w:rsidR="00D4171A" w:rsidRDefault="00D4171A">
            <w:pPr>
              <w:pStyle w:val="TableText"/>
            </w:pPr>
          </w:p>
        </w:tc>
        <w:tc>
          <w:tcPr>
            <w:tcW w:w="3400" w:type="dxa"/>
          </w:tcPr>
          <w:p w14:paraId="6B30DEB7" w14:textId="2E913872" w:rsidR="00D4171A" w:rsidRPr="00F84B28" w:rsidRDefault="00D4171A" w:rsidP="00E94073">
            <w:pPr>
              <w:pStyle w:val="TableBlock"/>
              <w:numPr>
                <w:ilvl w:val="0"/>
                <w:numId w:val="30"/>
              </w:numPr>
              <w:tabs>
                <w:tab w:val="left" w:pos="624"/>
              </w:tabs>
              <w:rPr>
                <w:rtl/>
              </w:rPr>
            </w:pPr>
            <w:r>
              <w:rPr>
                <w:rFonts w:hint="cs"/>
                <w:rtl/>
              </w:rPr>
              <w:t xml:space="preserve">השפעת הפסקת השירות במקום הנוכחי על </w:t>
            </w:r>
            <w:r>
              <w:rPr>
                <w:rtl/>
              </w:rPr>
              <w:t xml:space="preserve">זמינות </w:t>
            </w:r>
            <w:r>
              <w:rPr>
                <w:rFonts w:hint="cs"/>
                <w:rtl/>
              </w:rPr>
              <w:t>ו</w:t>
            </w:r>
            <w:r w:rsidRPr="0095168A">
              <w:rPr>
                <w:rtl/>
              </w:rPr>
              <w:t>איכות השירות</w:t>
            </w:r>
            <w:r w:rsidR="00E94073">
              <w:rPr>
                <w:rFonts w:hint="cs"/>
                <w:rtl/>
              </w:rPr>
              <w:t xml:space="preserve"> לציבור</w:t>
            </w:r>
            <w:r w:rsidRPr="0095168A">
              <w:rPr>
                <w:rtl/>
              </w:rPr>
              <w:t>;</w:t>
            </w:r>
          </w:p>
        </w:tc>
      </w:tr>
      <w:tr w:rsidR="00D4171A" w14:paraId="2F421306" w14:textId="77777777" w:rsidTr="00E94073">
        <w:trPr>
          <w:cantSplit/>
          <w:trHeight w:val="60"/>
        </w:trPr>
        <w:tc>
          <w:tcPr>
            <w:tcW w:w="1869" w:type="dxa"/>
          </w:tcPr>
          <w:p w14:paraId="58986FF1" w14:textId="77777777" w:rsidR="00D4171A" w:rsidRDefault="00D4171A">
            <w:pPr>
              <w:pStyle w:val="TableSideHeading"/>
            </w:pPr>
          </w:p>
        </w:tc>
        <w:tc>
          <w:tcPr>
            <w:tcW w:w="624" w:type="dxa"/>
          </w:tcPr>
          <w:p w14:paraId="6B0B60CB" w14:textId="77777777" w:rsidR="00D4171A" w:rsidRDefault="00D4171A" w:rsidP="00982EC5">
            <w:pPr>
              <w:pStyle w:val="TableText"/>
            </w:pPr>
          </w:p>
        </w:tc>
        <w:tc>
          <w:tcPr>
            <w:tcW w:w="624" w:type="dxa"/>
          </w:tcPr>
          <w:p w14:paraId="2E8D2955" w14:textId="77777777" w:rsidR="00D4171A" w:rsidRDefault="00D4171A">
            <w:pPr>
              <w:pStyle w:val="TableText"/>
            </w:pPr>
          </w:p>
        </w:tc>
        <w:tc>
          <w:tcPr>
            <w:tcW w:w="624" w:type="dxa"/>
          </w:tcPr>
          <w:p w14:paraId="787776C5" w14:textId="77777777" w:rsidR="00D4171A" w:rsidRDefault="00D4171A">
            <w:pPr>
              <w:pStyle w:val="TableText"/>
            </w:pPr>
          </w:p>
        </w:tc>
        <w:tc>
          <w:tcPr>
            <w:tcW w:w="624" w:type="dxa"/>
          </w:tcPr>
          <w:p w14:paraId="1A145C0E" w14:textId="77777777" w:rsidR="00D4171A" w:rsidRDefault="00D4171A">
            <w:pPr>
              <w:pStyle w:val="TableText"/>
            </w:pPr>
          </w:p>
        </w:tc>
        <w:tc>
          <w:tcPr>
            <w:tcW w:w="624" w:type="dxa"/>
          </w:tcPr>
          <w:p w14:paraId="1A1C3B90" w14:textId="77777777" w:rsidR="00D4171A" w:rsidRDefault="00D4171A">
            <w:pPr>
              <w:pStyle w:val="TableText"/>
            </w:pPr>
          </w:p>
        </w:tc>
        <w:tc>
          <w:tcPr>
            <w:tcW w:w="624" w:type="dxa"/>
          </w:tcPr>
          <w:p w14:paraId="4825B8D0" w14:textId="77777777" w:rsidR="00D4171A" w:rsidRDefault="00D4171A">
            <w:pPr>
              <w:pStyle w:val="TableText"/>
            </w:pPr>
          </w:p>
        </w:tc>
        <w:tc>
          <w:tcPr>
            <w:tcW w:w="628" w:type="dxa"/>
            <w:gridSpan w:val="2"/>
          </w:tcPr>
          <w:p w14:paraId="6A2FD190" w14:textId="77777777" w:rsidR="00D4171A" w:rsidRDefault="00D4171A">
            <w:pPr>
              <w:pStyle w:val="TableText"/>
            </w:pPr>
          </w:p>
        </w:tc>
        <w:tc>
          <w:tcPr>
            <w:tcW w:w="3400" w:type="dxa"/>
          </w:tcPr>
          <w:p w14:paraId="47875E86" w14:textId="5E3AAF19" w:rsidR="00D4171A" w:rsidRDefault="00D4171A" w:rsidP="00EF4D31">
            <w:pPr>
              <w:pStyle w:val="TableBlock"/>
              <w:numPr>
                <w:ilvl w:val="0"/>
                <w:numId w:val="30"/>
              </w:numPr>
              <w:tabs>
                <w:tab w:val="left" w:pos="624"/>
              </w:tabs>
              <w:rPr>
                <w:rtl/>
              </w:rPr>
            </w:pPr>
            <w:r>
              <w:rPr>
                <w:rtl/>
              </w:rPr>
              <w:t>קיומ</w:t>
            </w:r>
            <w:r w:rsidR="00EF4D31">
              <w:rPr>
                <w:rFonts w:hint="cs"/>
                <w:rtl/>
              </w:rPr>
              <w:t xml:space="preserve">ו </w:t>
            </w:r>
            <w:r>
              <w:rPr>
                <w:rtl/>
              </w:rPr>
              <w:t xml:space="preserve">של </w:t>
            </w:r>
            <w:r w:rsidR="00EF4D31">
              <w:rPr>
                <w:rFonts w:hint="cs"/>
                <w:rtl/>
              </w:rPr>
              <w:t xml:space="preserve">אתר נגיש </w:t>
            </w:r>
            <w:r>
              <w:rPr>
                <w:rtl/>
              </w:rPr>
              <w:t>בקרבת מקום, ב</w:t>
            </w:r>
            <w:r w:rsidR="00EF4D31">
              <w:rPr>
                <w:rFonts w:hint="cs"/>
                <w:rtl/>
              </w:rPr>
              <w:t>ו</w:t>
            </w:r>
            <w:r>
              <w:rPr>
                <w:rtl/>
              </w:rPr>
              <w:t xml:space="preserve"> מספק נותן השירות את אותו</w:t>
            </w:r>
            <w:r>
              <w:rPr>
                <w:rFonts w:hint="cs"/>
                <w:rtl/>
              </w:rPr>
              <w:t xml:space="preserve"> </w:t>
            </w:r>
            <w:r>
              <w:rPr>
                <w:rtl/>
              </w:rPr>
              <w:t>שירות</w:t>
            </w:r>
            <w:r w:rsidR="00EF4D31">
              <w:rPr>
                <w:rFonts w:hint="cs"/>
                <w:rtl/>
              </w:rPr>
              <w:t>;</w:t>
            </w:r>
          </w:p>
        </w:tc>
      </w:tr>
      <w:tr w:rsidR="00D4171A" w:rsidRPr="00953502" w14:paraId="2A5EB0F9" w14:textId="77777777" w:rsidTr="00E94073">
        <w:trPr>
          <w:cantSplit/>
          <w:trHeight w:val="60"/>
        </w:trPr>
        <w:tc>
          <w:tcPr>
            <w:tcW w:w="1869" w:type="dxa"/>
          </w:tcPr>
          <w:p w14:paraId="49B617AC" w14:textId="77777777" w:rsidR="00D4171A" w:rsidRDefault="00D4171A">
            <w:pPr>
              <w:pStyle w:val="TableSideHeading"/>
            </w:pPr>
          </w:p>
        </w:tc>
        <w:tc>
          <w:tcPr>
            <w:tcW w:w="624" w:type="dxa"/>
          </w:tcPr>
          <w:p w14:paraId="69B6F268" w14:textId="77777777" w:rsidR="00D4171A" w:rsidRDefault="00D4171A">
            <w:pPr>
              <w:pStyle w:val="TableText"/>
            </w:pPr>
          </w:p>
        </w:tc>
        <w:tc>
          <w:tcPr>
            <w:tcW w:w="624" w:type="dxa"/>
          </w:tcPr>
          <w:p w14:paraId="2A7E6037" w14:textId="77777777" w:rsidR="00D4171A" w:rsidRDefault="00D4171A">
            <w:pPr>
              <w:pStyle w:val="TableText"/>
            </w:pPr>
          </w:p>
        </w:tc>
        <w:tc>
          <w:tcPr>
            <w:tcW w:w="624" w:type="dxa"/>
          </w:tcPr>
          <w:p w14:paraId="4D3DEF0D" w14:textId="77777777" w:rsidR="00D4171A" w:rsidRDefault="00D4171A">
            <w:pPr>
              <w:pStyle w:val="TableText"/>
            </w:pPr>
          </w:p>
        </w:tc>
        <w:tc>
          <w:tcPr>
            <w:tcW w:w="624" w:type="dxa"/>
          </w:tcPr>
          <w:p w14:paraId="5C08B417" w14:textId="77777777" w:rsidR="00D4171A" w:rsidRDefault="00D4171A">
            <w:pPr>
              <w:pStyle w:val="TableText"/>
            </w:pPr>
          </w:p>
        </w:tc>
        <w:tc>
          <w:tcPr>
            <w:tcW w:w="624" w:type="dxa"/>
          </w:tcPr>
          <w:p w14:paraId="54F1C58C" w14:textId="77777777" w:rsidR="00D4171A" w:rsidRDefault="00D4171A">
            <w:pPr>
              <w:pStyle w:val="TableText"/>
            </w:pPr>
          </w:p>
        </w:tc>
        <w:tc>
          <w:tcPr>
            <w:tcW w:w="4652" w:type="dxa"/>
            <w:gridSpan w:val="4"/>
          </w:tcPr>
          <w:p w14:paraId="5A347AFA" w14:textId="32BF47BC" w:rsidR="00D4171A" w:rsidRDefault="00D4171A" w:rsidP="00806032">
            <w:pPr>
              <w:pStyle w:val="TableBlock"/>
              <w:numPr>
                <w:ilvl w:val="0"/>
                <w:numId w:val="24"/>
              </w:numPr>
              <w:tabs>
                <w:tab w:val="left" w:pos="624"/>
              </w:tabs>
            </w:pPr>
            <w:r>
              <w:rPr>
                <w:rFonts w:hint="cs"/>
                <w:rtl/>
              </w:rPr>
              <w:t>בקשה לאישור הנציב לפי תקנ</w:t>
            </w:r>
            <w:r w:rsidR="00891278">
              <w:rPr>
                <w:rFonts w:hint="cs"/>
                <w:rtl/>
              </w:rPr>
              <w:t>ה זו</w:t>
            </w:r>
            <w:r>
              <w:rPr>
                <w:rFonts w:hint="cs"/>
                <w:rtl/>
              </w:rPr>
              <w:t xml:space="preserve"> תוגש </w:t>
            </w:r>
            <w:r w:rsidR="00C84FBF">
              <w:rPr>
                <w:rFonts w:hint="cs"/>
                <w:rtl/>
              </w:rPr>
              <w:t xml:space="preserve">לפי טופס שיפרסם הנציב באתר האינטרנט של הנציבות </w:t>
            </w:r>
            <w:r w:rsidR="00953502">
              <w:rPr>
                <w:rFonts w:hint="cs"/>
                <w:rtl/>
              </w:rPr>
              <w:t>שיכלול התייחסות לפרטי הבקשה הנדרשים לפי תקנה זו</w:t>
            </w:r>
            <w:r w:rsidR="00806032">
              <w:rPr>
                <w:rFonts w:hint="cs"/>
                <w:rtl/>
              </w:rPr>
              <w:t>.</w:t>
            </w:r>
            <w:r w:rsidR="00953502">
              <w:rPr>
                <w:rFonts w:hint="cs"/>
                <w:rtl/>
              </w:rPr>
              <w:t xml:space="preserve"> </w:t>
            </w:r>
            <w:r w:rsidR="00806032">
              <w:rPr>
                <w:rFonts w:hint="cs"/>
                <w:rtl/>
              </w:rPr>
              <w:t xml:space="preserve">לבקשה </w:t>
            </w:r>
            <w:r w:rsidR="00953502">
              <w:rPr>
                <w:rFonts w:hint="cs"/>
                <w:rtl/>
              </w:rPr>
              <w:t>ת</w:t>
            </w:r>
            <w:r>
              <w:rPr>
                <w:rFonts w:hint="cs"/>
                <w:rtl/>
              </w:rPr>
              <w:t>צור</w:t>
            </w:r>
            <w:r w:rsidR="00953502">
              <w:rPr>
                <w:rFonts w:hint="cs"/>
                <w:rtl/>
              </w:rPr>
              <w:t xml:space="preserve">ף </w:t>
            </w:r>
            <w:r>
              <w:rPr>
                <w:rFonts w:hint="cs"/>
                <w:rtl/>
              </w:rPr>
              <w:t>חוות דעת של מורשה נגישות מבנ</w:t>
            </w:r>
            <w:r w:rsidR="00806032">
              <w:rPr>
                <w:rFonts w:hint="cs"/>
                <w:rtl/>
              </w:rPr>
              <w:t>ים</w:t>
            </w:r>
            <w:r>
              <w:rPr>
                <w:rFonts w:hint="cs"/>
                <w:rtl/>
              </w:rPr>
              <w:t xml:space="preserve">, תשתיות וסביבה לעניין הפטור מהנגשה שמונע את קיומן של הדרישות המנויות בתקנת משנה 86א(ב)(2), וחוות דעת של מורשה נגישות השירות לגבי התאמות נגישות חלופיות ככל שישנן, ורשאי </w:t>
            </w:r>
            <w:r w:rsidR="00953502">
              <w:rPr>
                <w:rFonts w:hint="cs"/>
                <w:rtl/>
              </w:rPr>
              <w:t>נותן האישור</w:t>
            </w:r>
            <w:r>
              <w:rPr>
                <w:rFonts w:hint="cs"/>
                <w:rtl/>
              </w:rPr>
              <w:t xml:space="preserve"> לדרוש מהאחראי למסור פרטים ואישורים נוספים ככל שיידרשו לצורך קבלת החלטה.</w:t>
            </w:r>
          </w:p>
        </w:tc>
      </w:tr>
      <w:tr w:rsidR="00D4171A" w14:paraId="3EA9C926" w14:textId="77777777" w:rsidTr="00E94073">
        <w:trPr>
          <w:cantSplit/>
          <w:trHeight w:val="60"/>
        </w:trPr>
        <w:tc>
          <w:tcPr>
            <w:tcW w:w="1869" w:type="dxa"/>
          </w:tcPr>
          <w:p w14:paraId="0DB8065E" w14:textId="737EBB53" w:rsidR="00D4171A" w:rsidRDefault="00D4171A" w:rsidP="00026299">
            <w:pPr>
              <w:pStyle w:val="TableSideHeading"/>
              <w:keepLines w:val="0"/>
            </w:pPr>
            <w:bookmarkStart w:id="23" w:name="_Toc532909208"/>
            <w:bookmarkStart w:id="24" w:name="_Toc20151152"/>
            <w:bookmarkStart w:id="25" w:name="_Toc20151170"/>
            <w:bookmarkStart w:id="26" w:name="_Toc20307920"/>
            <w:r>
              <w:rPr>
                <w:rFonts w:hint="cs"/>
                <w:rtl/>
              </w:rPr>
              <w:lastRenderedPageBreak/>
              <w:t>תיקון תקנת משנה 10(ה) לתקנות נגישות מקום קיים</w:t>
            </w:r>
            <w:bookmarkEnd w:id="23"/>
            <w:bookmarkEnd w:id="24"/>
            <w:bookmarkEnd w:id="25"/>
            <w:bookmarkEnd w:id="26"/>
          </w:p>
        </w:tc>
        <w:tc>
          <w:tcPr>
            <w:tcW w:w="624" w:type="dxa"/>
          </w:tcPr>
          <w:p w14:paraId="67D909AE" w14:textId="77777777" w:rsidR="00D4171A" w:rsidRDefault="00D4171A" w:rsidP="00982EC5">
            <w:pPr>
              <w:pStyle w:val="TableText"/>
              <w:keepLines w:val="0"/>
              <w:numPr>
                <w:ilvl w:val="0"/>
                <w:numId w:val="4"/>
              </w:numPr>
            </w:pPr>
          </w:p>
        </w:tc>
        <w:tc>
          <w:tcPr>
            <w:tcW w:w="7148" w:type="dxa"/>
            <w:gridSpan w:val="8"/>
          </w:tcPr>
          <w:p w14:paraId="0C5547A2" w14:textId="6DBF31E5" w:rsidR="00D4171A" w:rsidRPr="00C34DE2" w:rsidRDefault="00D4171A" w:rsidP="00B12397">
            <w:pPr>
              <w:pStyle w:val="TableBlock"/>
              <w:keepLines w:val="0"/>
            </w:pPr>
            <w:r>
              <w:rPr>
                <w:rFonts w:hint="cs"/>
                <w:rtl/>
              </w:rPr>
              <w:t>תקנת משנה 10(ה) בטלה, ובמקומה יחולו ההוראות הקבועות בתקנה 86א לתקנות.</w:t>
            </w:r>
          </w:p>
        </w:tc>
      </w:tr>
      <w:tr w:rsidR="00D4171A" w14:paraId="34879512" w14:textId="77777777" w:rsidTr="00E94073">
        <w:trPr>
          <w:cantSplit/>
          <w:trHeight w:val="60"/>
        </w:trPr>
        <w:tc>
          <w:tcPr>
            <w:tcW w:w="1869" w:type="dxa"/>
          </w:tcPr>
          <w:p w14:paraId="12969298" w14:textId="77777777" w:rsidR="00D4171A" w:rsidRDefault="00D4171A">
            <w:pPr>
              <w:pStyle w:val="TableSideHeading"/>
              <w:keepLines w:val="0"/>
            </w:pPr>
          </w:p>
        </w:tc>
        <w:tc>
          <w:tcPr>
            <w:tcW w:w="624" w:type="dxa"/>
          </w:tcPr>
          <w:p w14:paraId="35829840" w14:textId="77777777" w:rsidR="00D4171A" w:rsidRDefault="00D4171A">
            <w:pPr>
              <w:pStyle w:val="TableText"/>
              <w:keepLines w:val="0"/>
            </w:pPr>
          </w:p>
        </w:tc>
        <w:tc>
          <w:tcPr>
            <w:tcW w:w="1872" w:type="dxa"/>
            <w:gridSpan w:val="3"/>
          </w:tcPr>
          <w:p w14:paraId="6E17B094" w14:textId="77777777" w:rsidR="00D4171A" w:rsidRPr="00B12397" w:rsidRDefault="00D4171A">
            <w:pPr>
              <w:pStyle w:val="TableInnerSideHeading"/>
            </w:pPr>
          </w:p>
        </w:tc>
        <w:tc>
          <w:tcPr>
            <w:tcW w:w="624" w:type="dxa"/>
          </w:tcPr>
          <w:p w14:paraId="1DDE1C19" w14:textId="77777777" w:rsidR="00D4171A" w:rsidRDefault="00D4171A">
            <w:pPr>
              <w:pStyle w:val="TableText"/>
            </w:pPr>
          </w:p>
        </w:tc>
        <w:tc>
          <w:tcPr>
            <w:tcW w:w="4652" w:type="dxa"/>
            <w:gridSpan w:val="4"/>
          </w:tcPr>
          <w:p w14:paraId="6CE8A825" w14:textId="77777777" w:rsidR="00D4171A" w:rsidRDefault="00D4171A">
            <w:pPr>
              <w:pStyle w:val="TableBlock"/>
            </w:pPr>
          </w:p>
        </w:tc>
      </w:tr>
    </w:tbl>
    <w:p w14:paraId="506E904E" w14:textId="77777777" w:rsidR="00C64225" w:rsidRDefault="00C64225" w:rsidP="00026299"/>
    <w:p w14:paraId="17F7437E" w14:textId="162BE09B" w:rsidR="00982EC5" w:rsidRDefault="00982EC5" w:rsidP="009B2065">
      <w:pPr>
        <w:pStyle w:val="TableBlock"/>
        <w:keepLines w:val="0"/>
      </w:pPr>
    </w:p>
    <w:p w14:paraId="03E4F3BF" w14:textId="77777777" w:rsidR="00C64225" w:rsidRDefault="00C64225" w:rsidP="00026299">
      <w:pPr>
        <w:rPr>
          <w:rtl/>
        </w:rPr>
      </w:pPr>
    </w:p>
    <w:p w14:paraId="016797FE" w14:textId="77777777" w:rsidR="00982EC5" w:rsidRDefault="00982EC5" w:rsidP="00026299">
      <w:pPr>
        <w:rPr>
          <w:rtl/>
        </w:rPr>
      </w:pPr>
    </w:p>
    <w:p w14:paraId="281B1B63" w14:textId="77777777" w:rsidR="00C64225" w:rsidRDefault="00C64225" w:rsidP="00026299">
      <w:pPr>
        <w:rPr>
          <w:rFonts w:eastAsia="Calibri"/>
          <w:rtl/>
        </w:rPr>
      </w:pPr>
      <w:r>
        <w:rPr>
          <w:rFonts w:eastAsia="Calibri" w:hint="cs"/>
          <w:rtl/>
        </w:rPr>
        <w:t>___ ב________ התש_______ (___ ב________ ____20)</w:t>
      </w:r>
    </w:p>
    <w:p w14:paraId="32F67AFC" w14:textId="77777777" w:rsidR="00C64225" w:rsidRDefault="00C64225" w:rsidP="00026299">
      <w:pPr>
        <w:rPr>
          <w:rFonts w:eastAsia="Calibri"/>
          <w:rtl/>
        </w:rPr>
      </w:pPr>
      <w:r>
        <w:rPr>
          <w:rFonts w:eastAsia="Calibri" w:hint="cs"/>
          <w:rtl/>
        </w:rPr>
        <w:t>[תאריך עברי] ([תאריך לועזי])</w:t>
      </w:r>
    </w:p>
    <w:p w14:paraId="34D8DD1B" w14:textId="77777777" w:rsidR="00C64225" w:rsidRDefault="00C64225" w:rsidP="00026299">
      <w:pPr>
        <w:rPr>
          <w:rtl/>
        </w:rPr>
      </w:pPr>
      <w:r>
        <w:rPr>
          <w:rFonts w:hint="cs"/>
          <w:rtl/>
        </w:rPr>
        <w:t>(</w:t>
      </w:r>
      <w:proofErr w:type="spellStart"/>
      <w:r>
        <w:rPr>
          <w:rFonts w:hint="cs"/>
          <w:rtl/>
        </w:rPr>
        <w:t>חמ</w:t>
      </w:r>
      <w:proofErr w:type="spellEnd"/>
      <w:r>
        <w:rPr>
          <w:rFonts w:hint="cs"/>
          <w:rtl/>
        </w:rPr>
        <w:t xml:space="preserve"> _____-3)</w:t>
      </w:r>
    </w:p>
    <w:p w14:paraId="7EA71A30" w14:textId="77777777" w:rsidR="00C64225" w:rsidRDefault="00C64225" w:rsidP="00026299">
      <w:pPr>
        <w:rPr>
          <w:rtl/>
        </w:rPr>
      </w:pPr>
    </w:p>
    <w:p w14:paraId="6BA4AB48" w14:textId="77777777" w:rsidR="00C64225" w:rsidRDefault="00C64225" w:rsidP="00026299">
      <w:pPr>
        <w:ind w:left="5760"/>
        <w:jc w:val="center"/>
        <w:rPr>
          <w:rtl/>
        </w:rPr>
      </w:pPr>
      <w:r>
        <w:rPr>
          <w:rFonts w:hint="cs"/>
          <w:rtl/>
        </w:rPr>
        <w:t>__________________[חתימה]</w:t>
      </w:r>
    </w:p>
    <w:p w14:paraId="274BCF23" w14:textId="64F83F62" w:rsidR="00C64225" w:rsidRDefault="00C64225" w:rsidP="00806032">
      <w:pPr>
        <w:ind w:left="5760"/>
        <w:jc w:val="center"/>
        <w:rPr>
          <w:rtl/>
        </w:rPr>
      </w:pPr>
      <w:r>
        <w:rPr>
          <w:rFonts w:hint="cs"/>
          <w:rtl/>
        </w:rPr>
        <w:t>[</w:t>
      </w:r>
      <w:r w:rsidR="00806032">
        <w:rPr>
          <w:rFonts w:hint="cs"/>
          <w:rtl/>
        </w:rPr>
        <w:t>אמיר אוחנה</w:t>
      </w:r>
      <w:r>
        <w:rPr>
          <w:rFonts w:hint="cs"/>
          <w:rtl/>
        </w:rPr>
        <w:t>]</w:t>
      </w:r>
    </w:p>
    <w:p w14:paraId="7BBD6D51" w14:textId="19FFB38A" w:rsidR="009B2065" w:rsidRDefault="00C64225" w:rsidP="00806032">
      <w:pPr>
        <w:ind w:left="5760"/>
        <w:jc w:val="center"/>
        <w:rPr>
          <w:rFonts w:ascii="Arial" w:eastAsia="Arial Unicode MS" w:hAnsi="Arial"/>
          <w:b/>
          <w:snapToGrid w:val="0"/>
          <w:spacing w:val="40"/>
          <w:sz w:val="20"/>
          <w:szCs w:val="26"/>
          <w:rtl/>
        </w:rPr>
      </w:pPr>
      <w:r>
        <w:rPr>
          <w:rFonts w:hint="cs"/>
          <w:rtl/>
        </w:rPr>
        <w:t>[</w:t>
      </w:r>
      <w:r w:rsidR="00806032">
        <w:rPr>
          <w:rFonts w:hint="cs"/>
          <w:rtl/>
        </w:rPr>
        <w:t>שר המשפטים</w:t>
      </w:r>
      <w:r>
        <w:rPr>
          <w:rFonts w:hint="cs"/>
          <w:rtl/>
        </w:rPr>
        <w:t>]</w:t>
      </w:r>
      <w:r w:rsidR="009B2065">
        <w:rPr>
          <w:rtl/>
        </w:rPr>
        <w:br w:type="page"/>
      </w:r>
    </w:p>
    <w:p w14:paraId="2D17B3DD" w14:textId="77777777" w:rsidR="00C64225" w:rsidRDefault="00C64225" w:rsidP="00026299">
      <w:pPr>
        <w:pStyle w:val="HeadDivreiHesber"/>
        <w:rPr>
          <w:rtl/>
        </w:rPr>
      </w:pPr>
      <w:bookmarkStart w:id="27" w:name="_Toc20151153"/>
      <w:bookmarkStart w:id="28" w:name="_Toc20151171"/>
      <w:bookmarkStart w:id="29" w:name="_Toc20307921"/>
      <w:r>
        <w:rPr>
          <w:rtl/>
        </w:rPr>
        <w:lastRenderedPageBreak/>
        <w:t>דברי הסבר</w:t>
      </w:r>
      <w:bookmarkEnd w:id="27"/>
      <w:bookmarkEnd w:id="28"/>
      <w:bookmarkEnd w:id="29"/>
    </w:p>
    <w:p w14:paraId="015BED72" w14:textId="77777777" w:rsidR="009B2065" w:rsidRDefault="00CC292D" w:rsidP="009B2065">
      <w:pPr>
        <w:pStyle w:val="Hesber1st"/>
        <w:tabs>
          <w:tab w:val="clear" w:pos="680"/>
        </w:tabs>
        <w:rPr>
          <w:b/>
          <w:bCs/>
          <w:u w:val="single"/>
          <w:rtl/>
        </w:rPr>
      </w:pPr>
      <w:r w:rsidRPr="00CC292D">
        <w:rPr>
          <w:rFonts w:hint="cs"/>
          <w:b/>
          <w:bCs/>
          <w:u w:val="single"/>
          <w:rtl/>
        </w:rPr>
        <w:t>לתיקון תקנ</w:t>
      </w:r>
      <w:r w:rsidR="009B2065">
        <w:rPr>
          <w:rFonts w:hint="cs"/>
          <w:b/>
          <w:bCs/>
          <w:u w:val="single"/>
          <w:rtl/>
        </w:rPr>
        <w:t>ה</w:t>
      </w:r>
      <w:r w:rsidRPr="00CC292D">
        <w:rPr>
          <w:rFonts w:hint="cs"/>
          <w:b/>
          <w:bCs/>
          <w:u w:val="single"/>
          <w:rtl/>
        </w:rPr>
        <w:t xml:space="preserve"> 13</w:t>
      </w:r>
      <w:r w:rsidR="009B2065">
        <w:rPr>
          <w:rFonts w:hint="cs"/>
          <w:b/>
          <w:bCs/>
          <w:u w:val="single"/>
          <w:rtl/>
        </w:rPr>
        <w:t>:</w:t>
      </w:r>
    </w:p>
    <w:p w14:paraId="05236D6D" w14:textId="77777777" w:rsidR="0047350C" w:rsidRPr="009B2065" w:rsidRDefault="0047350C" w:rsidP="0047350C">
      <w:pPr>
        <w:pStyle w:val="Hesber1st"/>
        <w:tabs>
          <w:tab w:val="clear" w:pos="680"/>
        </w:tabs>
      </w:pPr>
      <w:r w:rsidRPr="009B2065">
        <w:rPr>
          <w:rFonts w:hint="cs"/>
          <w:rtl/>
        </w:rPr>
        <w:t>כיום, זכאי לפטור מעמידה בתור מי שמשתייך לאחת מהקבוצות הבאות</w:t>
      </w:r>
      <w:r w:rsidRPr="009B2065">
        <w:t>:</w:t>
      </w:r>
    </w:p>
    <w:p w14:paraId="3B29A55F" w14:textId="77777777" w:rsidR="0047350C" w:rsidRPr="009B2065" w:rsidRDefault="0047350C" w:rsidP="0047350C">
      <w:pPr>
        <w:widowControl/>
        <w:numPr>
          <w:ilvl w:val="0"/>
          <w:numId w:val="36"/>
        </w:numPr>
        <w:spacing w:before="120"/>
        <w:ind w:left="714" w:hanging="357"/>
        <w:contextualSpacing w:val="0"/>
        <w:rPr>
          <w:rFonts w:ascii="Arial" w:hAnsi="Arial"/>
          <w:sz w:val="26"/>
          <w:szCs w:val="26"/>
        </w:rPr>
      </w:pPr>
      <w:r w:rsidRPr="009B2065">
        <w:rPr>
          <w:rFonts w:ascii="Arial" w:hAnsi="Arial"/>
          <w:sz w:val="26"/>
          <w:szCs w:val="26"/>
          <w:rtl/>
        </w:rPr>
        <w:t xml:space="preserve">ילדים </w:t>
      </w:r>
      <w:r w:rsidRPr="009B2065">
        <w:rPr>
          <w:rFonts w:ascii="Arial" w:hAnsi="Arial" w:hint="cs"/>
          <w:sz w:val="26"/>
          <w:szCs w:val="26"/>
          <w:rtl/>
        </w:rPr>
        <w:t xml:space="preserve">(עד גיל 18) </w:t>
      </w:r>
      <w:r w:rsidRPr="009B2065">
        <w:rPr>
          <w:rFonts w:ascii="Arial" w:hAnsi="Arial"/>
          <w:sz w:val="26"/>
          <w:szCs w:val="26"/>
          <w:rtl/>
        </w:rPr>
        <w:t>עם מוגבלות שכלית או נפשית, לרבות ילדים שמוגבלותם בספקטרום האוטיסטי</w:t>
      </w:r>
      <w:r w:rsidRPr="009B2065">
        <w:rPr>
          <w:rFonts w:ascii="Arial" w:hAnsi="Arial" w:hint="cs"/>
          <w:sz w:val="26"/>
          <w:szCs w:val="26"/>
          <w:rtl/>
        </w:rPr>
        <w:t>;</w:t>
      </w:r>
    </w:p>
    <w:p w14:paraId="47B9FEE2" w14:textId="77777777" w:rsidR="0047350C" w:rsidRPr="009B2065" w:rsidRDefault="0047350C" w:rsidP="0047350C">
      <w:pPr>
        <w:widowControl/>
        <w:numPr>
          <w:ilvl w:val="0"/>
          <w:numId w:val="36"/>
        </w:numPr>
        <w:spacing w:before="120"/>
        <w:ind w:left="714" w:hanging="357"/>
        <w:contextualSpacing w:val="0"/>
        <w:rPr>
          <w:rFonts w:ascii="Arial" w:hAnsi="Arial"/>
          <w:sz w:val="26"/>
          <w:szCs w:val="26"/>
        </w:rPr>
      </w:pPr>
      <w:r w:rsidRPr="009B2065">
        <w:rPr>
          <w:rFonts w:ascii="Arial" w:hAnsi="Arial"/>
          <w:sz w:val="26"/>
          <w:szCs w:val="26"/>
          <w:rtl/>
        </w:rPr>
        <w:t xml:space="preserve">אנשים מעל גיל 18 עם מוגבלות שכלית, נפשית או מוגבלות בספקטרום האוטיסטי, </w:t>
      </w:r>
      <w:r w:rsidRPr="009B2065">
        <w:rPr>
          <w:rFonts w:ascii="Arial" w:hAnsi="Arial" w:hint="cs"/>
          <w:sz w:val="26"/>
          <w:szCs w:val="26"/>
          <w:rtl/>
        </w:rPr>
        <w:t xml:space="preserve">שנקבעה </w:t>
      </w:r>
      <w:r w:rsidRPr="009B2065">
        <w:rPr>
          <w:rFonts w:ascii="Arial" w:hAnsi="Arial"/>
          <w:sz w:val="26"/>
          <w:szCs w:val="26"/>
          <w:rtl/>
        </w:rPr>
        <w:t>להם נכות רפואית בשיעור 50% או יותר, לפי חוק הביטוח הלאומ</w:t>
      </w:r>
      <w:r w:rsidRPr="009B2065">
        <w:rPr>
          <w:rFonts w:ascii="Arial" w:hAnsi="Arial" w:hint="cs"/>
          <w:sz w:val="26"/>
          <w:szCs w:val="26"/>
          <w:rtl/>
        </w:rPr>
        <w:t xml:space="preserve">י או </w:t>
      </w:r>
      <w:r w:rsidRPr="009B2065">
        <w:rPr>
          <w:rFonts w:ascii="Arial" w:hAnsi="Arial"/>
          <w:sz w:val="26"/>
          <w:szCs w:val="26"/>
          <w:rtl/>
        </w:rPr>
        <w:t>לפי חוק הנכים (תגמולים ושיקום</w:t>
      </w:r>
      <w:r w:rsidRPr="009B2065">
        <w:rPr>
          <w:rFonts w:ascii="Arial" w:hAnsi="Arial" w:hint="cs"/>
          <w:sz w:val="26"/>
          <w:szCs w:val="26"/>
          <w:rtl/>
        </w:rPr>
        <w:t>).</w:t>
      </w:r>
    </w:p>
    <w:p w14:paraId="457407FB" w14:textId="77777777" w:rsidR="0047350C" w:rsidRPr="009B2065" w:rsidRDefault="0047350C" w:rsidP="0047350C">
      <w:pPr>
        <w:pStyle w:val="Hesber1st"/>
        <w:tabs>
          <w:tab w:val="clear" w:pos="680"/>
        </w:tabs>
        <w:rPr>
          <w:sz w:val="26"/>
          <w:rtl/>
        </w:rPr>
      </w:pPr>
      <w:r w:rsidRPr="009B2065">
        <w:rPr>
          <w:rFonts w:hint="cs"/>
          <w:sz w:val="26"/>
          <w:rtl/>
        </w:rPr>
        <w:t xml:space="preserve">הפטור </w:t>
      </w:r>
      <w:r w:rsidRPr="009B2065">
        <w:rPr>
          <w:rFonts w:hint="cs"/>
          <w:rtl/>
        </w:rPr>
        <w:t>ניתן</w:t>
      </w:r>
      <w:r w:rsidRPr="009B2065">
        <w:rPr>
          <w:rFonts w:hint="cs"/>
          <w:sz w:val="26"/>
          <w:rtl/>
        </w:rPr>
        <w:t xml:space="preserve"> </w:t>
      </w:r>
      <w:r w:rsidRPr="009B2065">
        <w:rPr>
          <w:sz w:val="26"/>
          <w:rtl/>
        </w:rPr>
        <w:t xml:space="preserve">כאשר השירות ניתן לפי תור הנוצר במקום מתן השירות, ולא </w:t>
      </w:r>
      <w:r w:rsidRPr="009B2065">
        <w:rPr>
          <w:rFonts w:hint="cs"/>
          <w:sz w:val="26"/>
          <w:rtl/>
        </w:rPr>
        <w:t xml:space="preserve">ניתן כאשר התור </w:t>
      </w:r>
      <w:r w:rsidRPr="009B2065">
        <w:rPr>
          <w:sz w:val="26"/>
          <w:rtl/>
        </w:rPr>
        <w:t>תואם מראש</w:t>
      </w:r>
      <w:r w:rsidRPr="009B2065">
        <w:rPr>
          <w:rFonts w:hint="cs"/>
          <w:sz w:val="26"/>
          <w:rtl/>
        </w:rPr>
        <w:t xml:space="preserve"> או כאשר ההמתנה לקבלת השירות היא בישיבה במכונית.</w:t>
      </w:r>
    </w:p>
    <w:p w14:paraId="0F6306E5" w14:textId="77777777" w:rsidR="0047350C" w:rsidRDefault="0047350C" w:rsidP="0047350C">
      <w:pPr>
        <w:pStyle w:val="Hesber1st"/>
        <w:tabs>
          <w:tab w:val="clear" w:pos="680"/>
        </w:tabs>
        <w:rPr>
          <w:rtl/>
        </w:rPr>
      </w:pPr>
      <w:r>
        <w:rPr>
          <w:rFonts w:hint="cs"/>
          <w:rtl/>
        </w:rPr>
        <w:t>בשני</w:t>
      </w:r>
      <w:r w:rsidRPr="009B2065">
        <w:rPr>
          <w:rFonts w:hint="cs"/>
          <w:rtl/>
        </w:rPr>
        <w:t>ם שחלפו מאז הותקנו התקנות התברר כי</w:t>
      </w:r>
      <w:r>
        <w:rPr>
          <w:rFonts w:hint="cs"/>
          <w:rtl/>
        </w:rPr>
        <w:t xml:space="preserve"> מעבר לזכאים המנויים בתקנה ישנם אנשים רבים עם מוגבלות שזקוקים לפטור מתור משום הקושי הפיזי הנלווה להמתנה בתור. בהעדר תעודה שמציינת במפורש את זכאותם לכך הם אינם מקבלים מענה לצורך שלהם מנותני השירות. לפיכך מוצע כעת להוסיף לרשימת הזכאים את הקבוצות הבאות:</w:t>
      </w:r>
    </w:p>
    <w:p w14:paraId="650C4972" w14:textId="77777777" w:rsidR="0047350C" w:rsidRPr="0057392A" w:rsidRDefault="0047350C" w:rsidP="0047350C">
      <w:pPr>
        <w:pStyle w:val="ListParagraph"/>
        <w:numPr>
          <w:ilvl w:val="0"/>
          <w:numId w:val="42"/>
        </w:numPr>
        <w:spacing w:before="120"/>
        <w:contextualSpacing w:val="0"/>
        <w:rPr>
          <w:rFonts w:ascii="Arial" w:eastAsia="Arial Unicode MS" w:hAnsi="Arial"/>
          <w:snapToGrid w:val="0"/>
          <w:sz w:val="20"/>
          <w:szCs w:val="26"/>
        </w:rPr>
      </w:pPr>
      <w:r w:rsidRPr="0057392A">
        <w:rPr>
          <w:rFonts w:ascii="Arial" w:eastAsia="Arial Unicode MS" w:hAnsi="Arial" w:hint="cs"/>
          <w:snapToGrid w:val="0"/>
          <w:sz w:val="20"/>
          <w:szCs w:val="26"/>
          <w:rtl/>
        </w:rPr>
        <w:t>ילדים שמקבלים קצבת ילד נכה;</w:t>
      </w:r>
    </w:p>
    <w:p w14:paraId="236A747B" w14:textId="77777777" w:rsidR="0047350C" w:rsidRPr="0057392A" w:rsidRDefault="0047350C" w:rsidP="0047350C">
      <w:pPr>
        <w:pStyle w:val="ListParagraph"/>
        <w:numPr>
          <w:ilvl w:val="0"/>
          <w:numId w:val="42"/>
        </w:numPr>
        <w:spacing w:before="120"/>
        <w:contextualSpacing w:val="0"/>
        <w:rPr>
          <w:rFonts w:ascii="Arial" w:eastAsia="Arial Unicode MS" w:hAnsi="Arial"/>
          <w:snapToGrid w:val="0"/>
          <w:sz w:val="20"/>
          <w:szCs w:val="26"/>
        </w:rPr>
      </w:pPr>
      <w:r w:rsidRPr="0057392A">
        <w:rPr>
          <w:rFonts w:ascii="Arial" w:eastAsia="Arial Unicode MS" w:hAnsi="Arial" w:hint="cs"/>
          <w:snapToGrid w:val="0"/>
          <w:sz w:val="20"/>
          <w:szCs w:val="26"/>
          <w:rtl/>
        </w:rPr>
        <w:t>אנשים עם מוגבלות כלשהי שנקבעה להם נכות רפואית מעל 50% לפי חוק הביטוח הלאומי או חוק הנכים (תגמולים ושיקום);</w:t>
      </w:r>
    </w:p>
    <w:p w14:paraId="460352E6" w14:textId="77777777" w:rsidR="0047350C" w:rsidRPr="0057392A" w:rsidRDefault="0047350C" w:rsidP="0047350C">
      <w:pPr>
        <w:pStyle w:val="ListParagraph"/>
        <w:numPr>
          <w:ilvl w:val="0"/>
          <w:numId w:val="42"/>
        </w:numPr>
        <w:spacing w:before="120"/>
        <w:contextualSpacing w:val="0"/>
        <w:rPr>
          <w:rFonts w:ascii="Arial" w:eastAsia="Arial Unicode MS" w:hAnsi="Arial"/>
          <w:snapToGrid w:val="0"/>
          <w:sz w:val="20"/>
          <w:szCs w:val="26"/>
        </w:rPr>
      </w:pPr>
      <w:r w:rsidRPr="0057392A">
        <w:rPr>
          <w:rFonts w:ascii="Arial" w:eastAsia="Arial Unicode MS" w:hAnsi="Arial" w:hint="cs"/>
          <w:snapToGrid w:val="0"/>
          <w:sz w:val="20"/>
          <w:szCs w:val="26"/>
          <w:rtl/>
        </w:rPr>
        <w:t xml:space="preserve">אנשים שמקבלים קצבת </w:t>
      </w:r>
      <w:proofErr w:type="spellStart"/>
      <w:r w:rsidRPr="0057392A">
        <w:rPr>
          <w:rFonts w:ascii="Arial" w:eastAsia="Arial Unicode MS" w:hAnsi="Arial" w:hint="cs"/>
          <w:snapToGrid w:val="0"/>
          <w:sz w:val="20"/>
          <w:szCs w:val="26"/>
          <w:rtl/>
        </w:rPr>
        <w:t>שר"ם</w:t>
      </w:r>
      <w:proofErr w:type="spellEnd"/>
      <w:r w:rsidRPr="0057392A">
        <w:rPr>
          <w:rFonts w:ascii="Arial" w:eastAsia="Arial Unicode MS" w:hAnsi="Arial" w:hint="cs"/>
          <w:snapToGrid w:val="0"/>
          <w:sz w:val="20"/>
          <w:szCs w:val="26"/>
          <w:rtl/>
        </w:rPr>
        <w:t xml:space="preserve"> או זכאים לקצבת סיעוד</w:t>
      </w:r>
      <w:r>
        <w:rPr>
          <w:rFonts w:ascii="Arial" w:eastAsia="Arial Unicode MS" w:hAnsi="Arial" w:hint="cs"/>
          <w:snapToGrid w:val="0"/>
          <w:sz w:val="20"/>
          <w:szCs w:val="26"/>
          <w:rtl/>
        </w:rPr>
        <w:t xml:space="preserve"> ומי שעונים לתנאים דומים לפי חוקי השיקום במשרד הביטחון</w:t>
      </w:r>
      <w:r w:rsidRPr="0057392A">
        <w:rPr>
          <w:rFonts w:ascii="Arial" w:eastAsia="Arial Unicode MS" w:hAnsi="Arial" w:hint="cs"/>
          <w:snapToGrid w:val="0"/>
          <w:sz w:val="20"/>
          <w:szCs w:val="26"/>
          <w:rtl/>
        </w:rPr>
        <w:t>;</w:t>
      </w:r>
    </w:p>
    <w:p w14:paraId="08900E96" w14:textId="77777777" w:rsidR="0047350C" w:rsidRPr="00CC292D" w:rsidRDefault="0047350C" w:rsidP="0047350C">
      <w:pPr>
        <w:pStyle w:val="Hesber1st"/>
        <w:numPr>
          <w:ilvl w:val="0"/>
          <w:numId w:val="42"/>
        </w:numPr>
        <w:rPr>
          <w:rtl/>
        </w:rPr>
      </w:pPr>
      <w:r w:rsidRPr="00CC292D">
        <w:rPr>
          <w:rFonts w:hint="cs"/>
          <w:rtl/>
        </w:rPr>
        <w:t xml:space="preserve">ניצולי שואה המוכרים על ידי הרשות לזכויות ניצולי שואה; </w:t>
      </w:r>
    </w:p>
    <w:p w14:paraId="198C397B" w14:textId="77777777" w:rsidR="0047350C" w:rsidRDefault="0047350C" w:rsidP="0047350C">
      <w:pPr>
        <w:pStyle w:val="Hesber1st"/>
        <w:tabs>
          <w:tab w:val="clear" w:pos="680"/>
        </w:tabs>
        <w:rPr>
          <w:rtl/>
        </w:rPr>
      </w:pPr>
      <w:r w:rsidRPr="00CC292D">
        <w:rPr>
          <w:rFonts w:hint="cs"/>
          <w:rtl/>
        </w:rPr>
        <w:t>בנוסף הנוסח יתוקן כך שמחזיקי תעודת עיוור יוכלו לעשות שימוש בתעודה זו במקום בתעודת הנכה המונפקת על ידי הביטוח הלאומי.</w:t>
      </w:r>
    </w:p>
    <w:p w14:paraId="6F212C70" w14:textId="77777777" w:rsidR="009B2065" w:rsidRDefault="009B2065" w:rsidP="00026299">
      <w:pPr>
        <w:pStyle w:val="Hesber1st"/>
        <w:tabs>
          <w:tab w:val="clear" w:pos="680"/>
        </w:tabs>
        <w:rPr>
          <w:b/>
          <w:bCs/>
          <w:u w:val="single"/>
          <w:rtl/>
        </w:rPr>
      </w:pPr>
    </w:p>
    <w:p w14:paraId="7511A571" w14:textId="3320200E" w:rsidR="00953502" w:rsidRDefault="00953502" w:rsidP="00953502">
      <w:pPr>
        <w:pStyle w:val="Hesber1st"/>
        <w:tabs>
          <w:tab w:val="clear" w:pos="680"/>
        </w:tabs>
        <w:rPr>
          <w:b/>
          <w:bCs/>
          <w:u w:val="single"/>
          <w:rtl/>
        </w:rPr>
      </w:pPr>
      <w:r>
        <w:rPr>
          <w:rFonts w:hint="cs"/>
          <w:b/>
          <w:bCs/>
          <w:u w:val="single"/>
          <w:rtl/>
        </w:rPr>
        <w:t>לתיקון תקנה 86</w:t>
      </w:r>
    </w:p>
    <w:p w14:paraId="5B7F2ED9" w14:textId="77777777" w:rsidR="00953502" w:rsidRDefault="00953502" w:rsidP="00953502">
      <w:pPr>
        <w:pStyle w:val="Hesber1st"/>
        <w:tabs>
          <w:tab w:val="clear" w:pos="680"/>
        </w:tabs>
        <w:rPr>
          <w:rtl/>
        </w:rPr>
      </w:pPr>
      <w:r w:rsidRPr="00CC292D">
        <w:rPr>
          <w:rFonts w:hint="cs"/>
          <w:rtl/>
        </w:rPr>
        <w:t>עוד מוצע במסגרת תיקון זה לבטל את תקנת המשנה הקובעת כי מעלון אנכי יהווה התאמה חלופית הולמת, מאחר ומעלון אנכי הוא התאמת נגישות בפני עצמה.</w:t>
      </w:r>
    </w:p>
    <w:p w14:paraId="05F8BEDE" w14:textId="2B4CC886" w:rsidR="00B12397" w:rsidRDefault="00B12397" w:rsidP="00953502">
      <w:pPr>
        <w:pStyle w:val="Hesber1st"/>
        <w:tabs>
          <w:tab w:val="clear" w:pos="680"/>
        </w:tabs>
        <w:rPr>
          <w:rtl/>
        </w:rPr>
      </w:pPr>
      <w:r>
        <w:rPr>
          <w:rFonts w:hint="cs"/>
          <w:rtl/>
        </w:rPr>
        <w:t>תקנת המשנה</w:t>
      </w:r>
      <w:r w:rsidR="003718C9">
        <w:rPr>
          <w:rFonts w:hint="cs"/>
          <w:rtl/>
        </w:rPr>
        <w:t xml:space="preserve"> שתימחק קובעת כיום כך:</w:t>
      </w:r>
    </w:p>
    <w:p w14:paraId="26030454" w14:textId="7BF53855" w:rsidR="003718C9" w:rsidRPr="003718C9" w:rsidRDefault="003718C9" w:rsidP="003718C9">
      <w:pPr>
        <w:widowControl/>
        <w:spacing w:before="72" w:line="240" w:lineRule="auto"/>
        <w:ind w:left="0" w:right="1134"/>
        <w:contextualSpacing w:val="0"/>
        <w:rPr>
          <w:rFonts w:ascii="Times New Roman" w:eastAsia="Times New Roman" w:hAnsi="Times New Roman" w:cs="Times New Roman"/>
          <w:color w:val="000000"/>
          <w:sz w:val="20"/>
          <w:szCs w:val="20"/>
        </w:rPr>
      </w:pPr>
      <w:r w:rsidRPr="003718C9">
        <w:rPr>
          <w:rFonts w:ascii="Times New Roman" w:eastAsia="Times New Roman" w:hAnsi="Times New Roman" w:cs="FrankRuehl" w:hint="cs"/>
          <w:color w:val="000000"/>
          <w:sz w:val="26"/>
          <w:szCs w:val="26"/>
          <w:rtl/>
        </w:rPr>
        <w:t xml:space="preserve">         </w:t>
      </w:r>
      <w:r>
        <w:rPr>
          <w:rFonts w:ascii="Times New Roman" w:eastAsia="Times New Roman" w:hAnsi="Times New Roman" w:cs="FrankRuehl" w:hint="cs"/>
          <w:color w:val="000000"/>
          <w:sz w:val="26"/>
          <w:szCs w:val="26"/>
          <w:rtl/>
        </w:rPr>
        <w:t>"</w:t>
      </w:r>
      <w:r w:rsidRPr="003718C9">
        <w:rPr>
          <w:rFonts w:ascii="Times New Roman" w:eastAsia="Times New Roman" w:hAnsi="Times New Roman" w:cs="FrankRuehl" w:hint="cs"/>
          <w:color w:val="000000"/>
          <w:sz w:val="26"/>
          <w:szCs w:val="26"/>
          <w:rtl/>
        </w:rPr>
        <w:t>(ו)   קיים במקום ציבורי הפרש גובה, יכול שישמש כנגישות חלופית לפי תקנה זו –</w:t>
      </w:r>
    </w:p>
    <w:p w14:paraId="2C37D431" w14:textId="7EF7FC39" w:rsidR="003718C9" w:rsidRPr="003718C9" w:rsidRDefault="003718C9" w:rsidP="003718C9">
      <w:pPr>
        <w:widowControl/>
        <w:spacing w:before="72" w:line="240" w:lineRule="auto"/>
        <w:ind w:left="1021" w:right="1134"/>
        <w:contextualSpacing w:val="0"/>
        <w:rPr>
          <w:rFonts w:ascii="Times New Roman" w:eastAsia="Times New Roman" w:hAnsi="Times New Roman" w:cs="Times New Roman"/>
          <w:color w:val="000000"/>
          <w:sz w:val="20"/>
          <w:szCs w:val="20"/>
          <w:rtl/>
        </w:rPr>
      </w:pPr>
      <w:r w:rsidRPr="003718C9">
        <w:rPr>
          <w:rFonts w:ascii="Times New Roman" w:eastAsia="Times New Roman" w:hAnsi="Times New Roman" w:cs="FrankRuehl" w:hint="cs"/>
          <w:color w:val="000000"/>
          <w:sz w:val="26"/>
          <w:szCs w:val="26"/>
          <w:rtl/>
        </w:rPr>
        <w:t xml:space="preserve">(1)   </w:t>
      </w:r>
      <w:r>
        <w:rPr>
          <w:rFonts w:ascii="Times New Roman" w:eastAsia="Times New Roman" w:hAnsi="Times New Roman" w:cs="FrankRuehl" w:hint="cs"/>
          <w:color w:val="000000"/>
          <w:sz w:val="26"/>
          <w:szCs w:val="26"/>
          <w:rtl/>
        </w:rPr>
        <w:t>...</w:t>
      </w:r>
    </w:p>
    <w:p w14:paraId="74D413D8" w14:textId="097F1A1B" w:rsidR="003718C9" w:rsidRPr="003718C9" w:rsidRDefault="003718C9" w:rsidP="003718C9">
      <w:pPr>
        <w:widowControl/>
        <w:spacing w:before="72" w:line="240" w:lineRule="auto"/>
        <w:ind w:left="1021" w:right="1134"/>
        <w:contextualSpacing w:val="0"/>
        <w:rPr>
          <w:rFonts w:ascii="Times New Roman" w:eastAsia="Times New Roman" w:hAnsi="Times New Roman" w:cs="Times New Roman"/>
          <w:color w:val="000000"/>
          <w:sz w:val="20"/>
          <w:szCs w:val="20"/>
          <w:rtl/>
        </w:rPr>
      </w:pPr>
      <w:r w:rsidRPr="003718C9">
        <w:rPr>
          <w:rFonts w:ascii="Times New Roman" w:eastAsia="Times New Roman" w:hAnsi="Times New Roman" w:cs="FrankRuehl" w:hint="cs"/>
          <w:color w:val="000000"/>
          <w:sz w:val="26"/>
          <w:szCs w:val="26"/>
          <w:rtl/>
        </w:rPr>
        <w:t>(2)   היה הפרש הגובה עד 110 סנטימטרים – מעלון אנכי, שכושר ההרמה שלו בעבור אדם עם מוגבלות ומכשיר העזר שלו, הוא 250 קילוגרמים לפחות.</w:t>
      </w:r>
      <w:r>
        <w:rPr>
          <w:rFonts w:ascii="Times New Roman" w:eastAsia="Times New Roman" w:hAnsi="Times New Roman" w:cs="FrankRuehl" w:hint="cs"/>
          <w:color w:val="000000"/>
          <w:sz w:val="26"/>
          <w:szCs w:val="26"/>
          <w:rtl/>
        </w:rPr>
        <w:t>"</w:t>
      </w:r>
    </w:p>
    <w:p w14:paraId="3BB58B81" w14:textId="77777777" w:rsidR="003718C9" w:rsidRDefault="003718C9" w:rsidP="00953502">
      <w:pPr>
        <w:pStyle w:val="Hesber1st"/>
        <w:tabs>
          <w:tab w:val="clear" w:pos="680"/>
        </w:tabs>
        <w:rPr>
          <w:rtl/>
        </w:rPr>
      </w:pPr>
    </w:p>
    <w:p w14:paraId="66B2ABF0" w14:textId="70AC2B59" w:rsidR="00CC292D" w:rsidRPr="009B2065" w:rsidRDefault="00953502" w:rsidP="00026299">
      <w:pPr>
        <w:pStyle w:val="Hesber1st"/>
        <w:tabs>
          <w:tab w:val="clear" w:pos="680"/>
        </w:tabs>
        <w:rPr>
          <w:b/>
          <w:bCs/>
          <w:u w:val="single"/>
          <w:rtl/>
        </w:rPr>
      </w:pPr>
      <w:r>
        <w:rPr>
          <w:rFonts w:hint="cs"/>
          <w:b/>
          <w:bCs/>
          <w:u w:val="single"/>
          <w:rtl/>
        </w:rPr>
        <w:t>ל</w:t>
      </w:r>
      <w:r w:rsidR="00CC292D" w:rsidRPr="009B2065">
        <w:rPr>
          <w:rFonts w:hint="cs"/>
          <w:b/>
          <w:bCs/>
          <w:u w:val="single"/>
          <w:rtl/>
        </w:rPr>
        <w:t>הוספת תקנה 86א:</w:t>
      </w:r>
    </w:p>
    <w:p w14:paraId="6F7AFBB6" w14:textId="6594C322" w:rsidR="00CC292D" w:rsidRPr="00CC292D" w:rsidRDefault="00CC292D" w:rsidP="00953502">
      <w:pPr>
        <w:pStyle w:val="Hesber1st"/>
        <w:tabs>
          <w:tab w:val="clear" w:pos="680"/>
        </w:tabs>
        <w:rPr>
          <w:rtl/>
        </w:rPr>
      </w:pPr>
      <w:r w:rsidRPr="00CC292D">
        <w:rPr>
          <w:rFonts w:hint="cs"/>
          <w:rtl/>
        </w:rPr>
        <w:t>תקנה 86 לתקנות נגישות השירות,</w:t>
      </w:r>
      <w:r w:rsidRPr="00CC292D">
        <w:rPr>
          <w:vertAlign w:val="superscript"/>
          <w:rtl/>
        </w:rPr>
        <w:footnoteReference w:id="8"/>
      </w:r>
      <w:r w:rsidRPr="00CC292D">
        <w:rPr>
          <w:rFonts w:hint="cs"/>
          <w:rtl/>
        </w:rPr>
        <w:t xml:space="preserve"> קובעת שכאשר חייב קיבל פטור מהנגשה מלאה או חלקית </w:t>
      </w:r>
      <w:r w:rsidRPr="00CC292D">
        <w:rPr>
          <w:rtl/>
        </w:rPr>
        <w:t>–</w:t>
      </w:r>
      <w:r w:rsidRPr="00CC292D">
        <w:rPr>
          <w:rFonts w:hint="cs"/>
          <w:rtl/>
        </w:rPr>
        <w:t xml:space="preserve"> עליו </w:t>
      </w:r>
      <w:r w:rsidRPr="00CC292D">
        <w:rPr>
          <w:rFonts w:hint="cs"/>
          <w:rtl/>
        </w:rPr>
        <w:lastRenderedPageBreak/>
        <w:t xml:space="preserve">לבצע את אותן התאמות שלגביהן אין פטור, על מנת לתת שירות לאנשים עם מוגבלות באופן בטוח, נוח, מכובד ועצמאי </w:t>
      </w:r>
      <w:r w:rsidRPr="00026299">
        <w:rPr>
          <w:rFonts w:hint="cs"/>
          <w:u w:val="single"/>
          <w:rtl/>
        </w:rPr>
        <w:t>ככל האפשר</w:t>
      </w:r>
      <w:r w:rsidRPr="00026299">
        <w:rPr>
          <w:rFonts w:hint="cs"/>
        </w:rPr>
        <w:t>.</w:t>
      </w:r>
      <w:r w:rsidRPr="00CC292D">
        <w:rPr>
          <w:rFonts w:hint="cs"/>
          <w:rtl/>
        </w:rPr>
        <w:t xml:space="preserve"> </w:t>
      </w:r>
      <w:r w:rsidR="00026299">
        <w:rPr>
          <w:rFonts w:hint="cs"/>
          <w:rtl/>
        </w:rPr>
        <w:t>אין חובה מכוח תקנות נגישות השירות,</w:t>
      </w:r>
      <w:r w:rsidR="00953502">
        <w:rPr>
          <w:rFonts w:hint="cs"/>
          <w:rtl/>
        </w:rPr>
        <w:t xml:space="preserve"> להעביר את השירות למקום חלופי, </w:t>
      </w:r>
      <w:r w:rsidR="00026299">
        <w:rPr>
          <w:rFonts w:hint="cs"/>
          <w:rtl/>
        </w:rPr>
        <w:t>אם אין אפשרות לבצע את התאמות הנג</w:t>
      </w:r>
      <w:r w:rsidR="00953502">
        <w:rPr>
          <w:rFonts w:hint="cs"/>
          <w:rtl/>
        </w:rPr>
        <w:t>י</w:t>
      </w:r>
      <w:r w:rsidR="00026299">
        <w:rPr>
          <w:rFonts w:hint="cs"/>
          <w:rtl/>
        </w:rPr>
        <w:t>ש</w:t>
      </w:r>
      <w:r w:rsidR="00953502">
        <w:rPr>
          <w:rFonts w:hint="cs"/>
          <w:rtl/>
        </w:rPr>
        <w:t>ות</w:t>
      </w:r>
      <w:r w:rsidR="00026299">
        <w:rPr>
          <w:rFonts w:hint="cs"/>
          <w:rtl/>
        </w:rPr>
        <w:t xml:space="preserve">. </w:t>
      </w:r>
    </w:p>
    <w:p w14:paraId="5C177A0A" w14:textId="16E53EB7" w:rsidR="00CC292D" w:rsidRPr="00CC292D" w:rsidRDefault="00026299" w:rsidP="003B436F">
      <w:pPr>
        <w:pStyle w:val="Hesber1st"/>
        <w:tabs>
          <w:tab w:val="clear" w:pos="680"/>
        </w:tabs>
        <w:rPr>
          <w:rtl/>
        </w:rPr>
      </w:pPr>
      <w:r>
        <w:rPr>
          <w:rFonts w:hint="cs"/>
          <w:rtl/>
        </w:rPr>
        <w:t>לעומת זאת</w:t>
      </w:r>
      <w:r w:rsidR="00CC292D" w:rsidRPr="00CC292D">
        <w:rPr>
          <w:rFonts w:hint="cs"/>
          <w:rtl/>
        </w:rPr>
        <w:t xml:space="preserve">, תקנה 10(ה) לתקנות נגישות </w:t>
      </w:r>
      <w:r w:rsidR="00D66298">
        <w:rPr>
          <w:rFonts w:hint="cs"/>
          <w:rtl/>
        </w:rPr>
        <w:t xml:space="preserve">למקום ציבורי </w:t>
      </w:r>
      <w:r w:rsidR="00CC292D" w:rsidRPr="00CC292D">
        <w:rPr>
          <w:rFonts w:hint="cs"/>
          <w:rtl/>
        </w:rPr>
        <w:t>קיים,</w:t>
      </w:r>
      <w:r w:rsidR="00CC292D" w:rsidRPr="00CC292D">
        <w:rPr>
          <w:vertAlign w:val="superscript"/>
          <w:rtl/>
        </w:rPr>
        <w:footnoteReference w:id="9"/>
      </w:r>
      <w:r w:rsidR="00CC292D" w:rsidRPr="00CC292D">
        <w:rPr>
          <w:rFonts w:hint="cs"/>
          <w:rtl/>
        </w:rPr>
        <w:t xml:space="preserve"> קובעת הוראה ספציפית לגבי מי שהוא "אחראי למתן שירות" שקיבל פטור מביצוע התאמה. לגבי חייב כזה, כאשר מתן הפטור מונע מאדם עם מוגבלות נגישות לשירות ציבורי יחד עם שאר הציבור </w:t>
      </w:r>
      <w:r w:rsidR="00CC292D" w:rsidRPr="00CC292D">
        <w:rPr>
          <w:rtl/>
        </w:rPr>
        <w:t>–</w:t>
      </w:r>
      <w:r w:rsidR="00CC292D" w:rsidRPr="00CC292D">
        <w:rPr>
          <w:rFonts w:hint="cs"/>
          <w:rtl/>
        </w:rPr>
        <w:t xml:space="preserve"> על האחראי להעביר את השירות למקום נגיש. אחראי למתן שירות לעניין זה הוא: רשות ציבורית, נותן שירות שהוא חובה המוטלת על הציבור לפי חיקוק, בנק, מיתקן לחלוקת דואר וסוכנות דואר (כאשר לגבי בנייני הדואר יש הקלות מסוימות). </w:t>
      </w:r>
    </w:p>
    <w:p w14:paraId="0BB1B477" w14:textId="6CBD8C83" w:rsidR="00CC292D" w:rsidRPr="00CC292D" w:rsidRDefault="00CC292D" w:rsidP="00CC292D">
      <w:pPr>
        <w:pStyle w:val="Hesber1st"/>
        <w:rPr>
          <w:rtl/>
        </w:rPr>
      </w:pPr>
      <w:r w:rsidRPr="00CC292D">
        <w:rPr>
          <w:rFonts w:hint="cs"/>
          <w:rtl/>
        </w:rPr>
        <w:t xml:space="preserve">ההסדר המוצע כעת נועד להבהיר את המצב המשפטי </w:t>
      </w:r>
      <w:r w:rsidR="00026299">
        <w:rPr>
          <w:rFonts w:hint="cs"/>
          <w:rtl/>
        </w:rPr>
        <w:t>בקשר לחובות החלות על</w:t>
      </w:r>
      <w:r w:rsidR="00026299" w:rsidRPr="00CC292D">
        <w:rPr>
          <w:rFonts w:hint="cs"/>
          <w:rtl/>
        </w:rPr>
        <w:t xml:space="preserve"> </w:t>
      </w:r>
      <w:r w:rsidR="00026299">
        <w:rPr>
          <w:rFonts w:hint="cs"/>
          <w:rtl/>
        </w:rPr>
        <w:t>"</w:t>
      </w:r>
      <w:r w:rsidRPr="00CC292D">
        <w:rPr>
          <w:rFonts w:hint="cs"/>
          <w:rtl/>
        </w:rPr>
        <w:t>נותני שירות הכרחי</w:t>
      </w:r>
      <w:r w:rsidR="00026299">
        <w:rPr>
          <w:rFonts w:hint="cs"/>
          <w:rtl/>
        </w:rPr>
        <w:t>" הנותן שירותים, או שוקל לתת שירותים, במקום שלגביו ניתן פטור מהנגשה. ("נותני שירו</w:t>
      </w:r>
      <w:r w:rsidR="00953502">
        <w:rPr>
          <w:rFonts w:hint="cs"/>
          <w:rtl/>
        </w:rPr>
        <w:t xml:space="preserve">ת הכרחי" על פי התיקון יהיו </w:t>
      </w:r>
      <w:r w:rsidR="00026299">
        <w:rPr>
          <w:rFonts w:hint="cs"/>
          <w:rtl/>
        </w:rPr>
        <w:t>אותם גופים המכונים "אחראי למתן שירות"</w:t>
      </w:r>
      <w:r w:rsidR="00026299">
        <w:rPr>
          <w:rFonts w:hint="cs"/>
        </w:rPr>
        <w:t xml:space="preserve"> </w:t>
      </w:r>
      <w:r w:rsidR="00026299">
        <w:rPr>
          <w:rFonts w:hint="cs"/>
          <w:rtl/>
        </w:rPr>
        <w:t>בתקנות נגישות בניין קיים.)</w:t>
      </w:r>
    </w:p>
    <w:p w14:paraId="3B65031C" w14:textId="77777777" w:rsidR="00CC292D" w:rsidRPr="00CC292D" w:rsidRDefault="00CC292D" w:rsidP="00CC292D">
      <w:pPr>
        <w:pStyle w:val="Hesber1st"/>
        <w:rPr>
          <w:rtl/>
        </w:rPr>
      </w:pPr>
      <w:r w:rsidRPr="00CC292D">
        <w:rPr>
          <w:rFonts w:hint="cs"/>
          <w:rtl/>
        </w:rPr>
        <w:t xml:space="preserve">עיקרי התיקון: </w:t>
      </w:r>
    </w:p>
    <w:p w14:paraId="2D3526C2" w14:textId="3EC47E8B" w:rsidR="00CC292D" w:rsidRPr="00CC292D" w:rsidRDefault="006D1C33" w:rsidP="00CC292D">
      <w:pPr>
        <w:pStyle w:val="Hesber1st"/>
        <w:numPr>
          <w:ilvl w:val="0"/>
          <w:numId w:val="33"/>
        </w:numPr>
      </w:pPr>
      <w:r>
        <w:rPr>
          <w:rFonts w:hint="cs"/>
          <w:rtl/>
        </w:rPr>
        <w:t>אתר</w:t>
      </w:r>
      <w:r w:rsidRPr="00CC292D">
        <w:rPr>
          <w:rFonts w:hint="cs"/>
          <w:rtl/>
        </w:rPr>
        <w:t xml:space="preserve"> </w:t>
      </w:r>
      <w:r w:rsidR="00CC292D" w:rsidRPr="00CC292D">
        <w:rPr>
          <w:rFonts w:hint="cs"/>
          <w:rtl/>
        </w:rPr>
        <w:t xml:space="preserve">חדש של מתן שירות </w:t>
      </w:r>
      <w:r>
        <w:rPr>
          <w:rFonts w:hint="cs"/>
          <w:rtl/>
        </w:rPr>
        <w:t xml:space="preserve">הכרחי </w:t>
      </w:r>
      <w:r w:rsidR="00CC292D" w:rsidRPr="00CC292D">
        <w:rPr>
          <w:rFonts w:hint="cs"/>
          <w:rtl/>
        </w:rPr>
        <w:t>י</w:t>
      </w:r>
      <w:r>
        <w:rPr>
          <w:rFonts w:hint="cs"/>
          <w:rtl/>
        </w:rPr>
        <w:t>י</w:t>
      </w:r>
      <w:r w:rsidR="00CC292D" w:rsidRPr="00CC292D">
        <w:rPr>
          <w:rFonts w:hint="cs"/>
          <w:rtl/>
        </w:rPr>
        <w:t>פתח רק במקום שלא ניתן לגביו פטור מהנגשה כלשהי;</w:t>
      </w:r>
    </w:p>
    <w:p w14:paraId="6B1CB54B" w14:textId="13376534" w:rsidR="00CC292D" w:rsidRPr="00CC292D" w:rsidRDefault="006D1C33" w:rsidP="00CC292D">
      <w:pPr>
        <w:pStyle w:val="Hesber1st"/>
        <w:numPr>
          <w:ilvl w:val="0"/>
          <w:numId w:val="33"/>
        </w:numPr>
      </w:pPr>
      <w:r>
        <w:rPr>
          <w:rFonts w:hint="cs"/>
          <w:rtl/>
        </w:rPr>
        <w:t>אתר</w:t>
      </w:r>
      <w:r w:rsidRPr="00CC292D">
        <w:rPr>
          <w:rFonts w:hint="cs"/>
          <w:rtl/>
        </w:rPr>
        <w:t xml:space="preserve"> </w:t>
      </w:r>
      <w:r w:rsidR="00CC292D" w:rsidRPr="00CC292D">
        <w:rPr>
          <w:rFonts w:hint="cs"/>
          <w:rtl/>
        </w:rPr>
        <w:t>קיים של מתן שירות הכרחי יידרש לעבור מקום כאשר אין בו דרך נגישה למקום מתן השירות, וכן אם אין בו בית שימוש נגיש, כאשר לרשות הציבור ישנו בית שימוש;</w:t>
      </w:r>
    </w:p>
    <w:p w14:paraId="4763EFC3" w14:textId="28E50586" w:rsidR="00CC292D" w:rsidRDefault="00CC292D" w:rsidP="00CC292D">
      <w:pPr>
        <w:pStyle w:val="Hesber1st"/>
        <w:numPr>
          <w:ilvl w:val="0"/>
          <w:numId w:val="33"/>
        </w:numPr>
      </w:pPr>
      <w:r w:rsidRPr="00CC292D">
        <w:rPr>
          <w:rFonts w:hint="cs"/>
          <w:rtl/>
        </w:rPr>
        <w:t>בנוסף, תהיה אפשרות לנציב שוויון זכויות לאנשים עם מוגבלות</w:t>
      </w:r>
      <w:r w:rsidR="00953502">
        <w:rPr>
          <w:rFonts w:hint="cs"/>
          <w:rtl/>
        </w:rPr>
        <w:t xml:space="preserve"> או לאדם מטעמו,</w:t>
      </w:r>
      <w:r w:rsidRPr="00CC292D">
        <w:rPr>
          <w:rFonts w:hint="cs"/>
          <w:rtl/>
        </w:rPr>
        <w:t xml:space="preserve"> </w:t>
      </w:r>
      <w:r w:rsidR="003B0FC4" w:rsidRPr="00CC292D">
        <w:rPr>
          <w:rFonts w:hint="cs"/>
          <w:rtl/>
        </w:rPr>
        <w:t>ל</w:t>
      </w:r>
      <w:r w:rsidR="003B0FC4">
        <w:rPr>
          <w:rFonts w:hint="cs"/>
          <w:rtl/>
        </w:rPr>
        <w:t>תת אישו</w:t>
      </w:r>
      <w:r w:rsidR="003B0FC4" w:rsidRPr="00CC292D">
        <w:rPr>
          <w:rFonts w:hint="cs"/>
          <w:rtl/>
        </w:rPr>
        <w:t>ר</w:t>
      </w:r>
      <w:r w:rsidR="003B0FC4">
        <w:rPr>
          <w:rFonts w:hint="cs"/>
          <w:rtl/>
        </w:rPr>
        <w:t xml:space="preserve"> זמני ל</w:t>
      </w:r>
      <w:r w:rsidRPr="00CC292D">
        <w:rPr>
          <w:rFonts w:hint="cs"/>
          <w:rtl/>
        </w:rPr>
        <w:t>המשך מתן השירות במיקום שלא מתקיימות בו הדרישות המנויות בסעיף ב'</w:t>
      </w:r>
      <w:r w:rsidR="003B0FC4">
        <w:rPr>
          <w:rFonts w:hint="cs"/>
          <w:rtl/>
        </w:rPr>
        <w:t>,</w:t>
      </w:r>
      <w:r w:rsidRPr="00CC292D">
        <w:rPr>
          <w:rFonts w:hint="cs"/>
          <w:rtl/>
        </w:rPr>
        <w:t xml:space="preserve"> אם שוכנע שיש לכך הצדקה מיוחדת ואם שוכנע ש</w:t>
      </w:r>
      <w:r w:rsidR="00D66298">
        <w:rPr>
          <w:rFonts w:hint="cs"/>
          <w:rtl/>
        </w:rPr>
        <w:t>ל</w:t>
      </w:r>
      <w:r w:rsidRPr="00CC292D">
        <w:rPr>
          <w:rFonts w:hint="cs"/>
          <w:rtl/>
        </w:rPr>
        <w:t xml:space="preserve">נותן השירות </w:t>
      </w:r>
      <w:r w:rsidR="00D66298">
        <w:rPr>
          <w:rFonts w:hint="cs"/>
          <w:rtl/>
        </w:rPr>
        <w:t>דרך</w:t>
      </w:r>
      <w:r w:rsidRPr="00CC292D">
        <w:rPr>
          <w:rFonts w:hint="cs"/>
          <w:rtl/>
        </w:rPr>
        <w:t xml:space="preserve"> לספק לאדם עם מוגבלות את השירות באופן הולם.</w:t>
      </w:r>
      <w:r w:rsidR="003B0FC4">
        <w:rPr>
          <w:rFonts w:hint="cs"/>
          <w:rtl/>
        </w:rPr>
        <w:t xml:space="preserve"> </w:t>
      </w:r>
    </w:p>
    <w:p w14:paraId="441E901C" w14:textId="2BE39A7D" w:rsidR="00D66298" w:rsidRDefault="006912B0" w:rsidP="00D66298">
      <w:pPr>
        <w:pStyle w:val="Hesber1st"/>
        <w:rPr>
          <w:rtl/>
        </w:rPr>
      </w:pPr>
      <w:r>
        <w:rPr>
          <w:rFonts w:hint="cs"/>
          <w:rtl/>
        </w:rPr>
        <w:t xml:space="preserve">בהמשך לכך </w:t>
      </w:r>
      <w:r w:rsidR="00D66298">
        <w:rPr>
          <w:rFonts w:hint="cs"/>
          <w:rtl/>
        </w:rPr>
        <w:t xml:space="preserve">מוצע לבטל את תקנה 10(ה) לתקנות נגישות למקום ציבורי קיים, כך שלא תחול עוד חובה אוטומטית להעביר את השירות למקום חלופי. </w:t>
      </w:r>
      <w:r>
        <w:rPr>
          <w:rFonts w:hint="cs"/>
          <w:rtl/>
        </w:rPr>
        <w:t>ההסדר המתואר לעיל יבוא במקום ההסדר הקיים כיום בתקנה 10(ה) לתקנות נגישות למקום ציבורי קיים.</w:t>
      </w:r>
    </w:p>
    <w:p w14:paraId="22D32017" w14:textId="0E5394E0" w:rsidR="00D66298" w:rsidRDefault="00693827" w:rsidP="00953502">
      <w:pPr>
        <w:pStyle w:val="Hesber1st"/>
        <w:rPr>
          <w:rtl/>
        </w:rPr>
      </w:pPr>
      <w:r>
        <w:rPr>
          <w:rFonts w:hint="cs"/>
          <w:rtl/>
        </w:rPr>
        <w:t>נוסח תקנה 10(ה) לתקנות מקום ציבורי קיים:</w:t>
      </w:r>
    </w:p>
    <w:p w14:paraId="740D8E0E" w14:textId="31F9381E" w:rsidR="00BE726D" w:rsidRDefault="00BE726D" w:rsidP="00BE726D">
      <w:pPr>
        <w:pStyle w:val="P000"/>
        <w:spacing w:before="72"/>
        <w:ind w:left="0" w:right="1134"/>
        <w:rPr>
          <w:rStyle w:val="default"/>
          <w:rFonts w:cs="FrankRuehl"/>
          <w:rtl/>
        </w:rPr>
      </w:pPr>
      <w:r>
        <w:rPr>
          <w:rStyle w:val="default"/>
          <w:rFonts w:cs="FrankRuehl" w:hint="cs"/>
          <w:rtl/>
        </w:rPr>
        <w:tab/>
        <w:t>"(ה)</w:t>
      </w:r>
      <w:r>
        <w:rPr>
          <w:rStyle w:val="default"/>
          <w:rFonts w:cs="FrankRuehl" w:hint="cs"/>
          <w:rtl/>
        </w:rPr>
        <w:tab/>
        <w:t xml:space="preserve">היה אחראי לשירות פטור לפי פרק זה מביצוע התאמת נגישות, ועקב כך לא היתה לאדם עם מוגבלות נגישות לקבלת שירות ציבורי בבניין קיים, יחד עם שאר הציבור, יעביר, האחראי, את אותו שירות, למקום אחר שבו יינתן לכלל הציבור ובלבד שתהיה אליו נגישות לאדם עם מוגבלות; לעניין תקנת משנה זו </w:t>
      </w:r>
      <w:r>
        <w:rPr>
          <w:rStyle w:val="default"/>
          <w:rFonts w:cs="FrankRuehl"/>
          <w:rtl/>
        </w:rPr>
        <w:t>–</w:t>
      </w:r>
    </w:p>
    <w:p w14:paraId="470F92AA" w14:textId="77777777" w:rsidR="00BE726D" w:rsidRDefault="00BE726D" w:rsidP="00BE726D">
      <w:pPr>
        <w:pStyle w:val="P000"/>
        <w:spacing w:before="72"/>
        <w:ind w:left="1021" w:right="1134"/>
        <w:rPr>
          <w:rStyle w:val="default"/>
          <w:rFonts w:cs="FrankRuehl"/>
          <w:rtl/>
        </w:rPr>
      </w:pPr>
      <w:r>
        <w:rPr>
          <w:rStyle w:val="default"/>
          <w:rFonts w:cs="FrankRuehl" w:hint="cs"/>
          <w:rtl/>
        </w:rPr>
        <w:t>(1)</w:t>
      </w:r>
      <w:r>
        <w:rPr>
          <w:rStyle w:val="default"/>
          <w:rFonts w:cs="FrankRuehl" w:hint="cs"/>
          <w:rtl/>
        </w:rPr>
        <w:tab/>
        <w:t>יראו גם בניין קיים או חלקו, שבו אין לאדם עם מוגבלות המגיע לקבל בו שירות, מקום חניה נגיש אחד לפחות לרכב גבוה, כמקום שבו אין נגישות לקבלת שירות ציבורי; חזקה זו תחול גם לאחר שהחייב בביצוע נגישות פנה לרשות המקומית לפי תקנה 4;</w:t>
      </w:r>
    </w:p>
    <w:p w14:paraId="3B7A6D08" w14:textId="77777777" w:rsidR="00BE726D" w:rsidRDefault="00BE726D" w:rsidP="00BE726D">
      <w:pPr>
        <w:pStyle w:val="P000"/>
        <w:spacing w:before="72"/>
        <w:ind w:left="1021" w:right="1134"/>
        <w:rPr>
          <w:rStyle w:val="default"/>
          <w:rFonts w:cs="FrankRuehl"/>
          <w:rtl/>
        </w:rPr>
      </w:pPr>
      <w:r>
        <w:rPr>
          <w:rStyle w:val="default"/>
          <w:rFonts w:cs="FrankRuehl" w:hint="cs"/>
          <w:rtl/>
        </w:rPr>
        <w:t>(2)</w:t>
      </w:r>
      <w:r>
        <w:rPr>
          <w:rStyle w:val="default"/>
          <w:rFonts w:cs="FrankRuehl" w:hint="cs"/>
          <w:rtl/>
        </w:rPr>
        <w:tab/>
        <w:t>היא לא תחול לגבי סניף דואר וסוכנות דואר, אם במרחק נסיעה שאינו עולה על חמישה קילומטר נמצא סניף דואר או סוכנות דואר שלאדם עם מוגבלות יש נגישות אליו לקבלת השירות יחד עם שאר הציבור;</w:t>
      </w:r>
    </w:p>
    <w:p w14:paraId="62B5AD9C" w14:textId="77777777" w:rsidR="00BE726D" w:rsidRDefault="00BE726D" w:rsidP="00BE726D">
      <w:pPr>
        <w:pStyle w:val="P000"/>
        <w:spacing w:before="72"/>
        <w:ind w:left="1021" w:right="1134"/>
        <w:rPr>
          <w:rStyle w:val="default"/>
          <w:rFonts w:cs="FrankRuehl"/>
          <w:rtl/>
        </w:rPr>
      </w:pPr>
      <w:r>
        <w:rPr>
          <w:rStyle w:val="default"/>
          <w:rFonts w:cs="FrankRuehl" w:hint="cs"/>
          <w:rtl/>
        </w:rPr>
        <w:t>(3)</w:t>
      </w:r>
      <w:r>
        <w:rPr>
          <w:rStyle w:val="default"/>
          <w:rFonts w:cs="FrankRuehl" w:hint="cs"/>
          <w:rtl/>
        </w:rPr>
        <w:tab/>
        <w:t xml:space="preserve">בתקנת משנה זו </w:t>
      </w:r>
      <w:r>
        <w:rPr>
          <w:rStyle w:val="default"/>
          <w:rFonts w:cs="FrankRuehl"/>
          <w:rtl/>
        </w:rPr>
        <w:t>–</w:t>
      </w:r>
    </w:p>
    <w:p w14:paraId="6ED2347A" w14:textId="77777777" w:rsidR="00BE726D" w:rsidRDefault="00BE726D" w:rsidP="00BE726D">
      <w:pPr>
        <w:pStyle w:val="P000"/>
        <w:spacing w:before="72"/>
        <w:ind w:left="1021" w:right="1134"/>
        <w:rPr>
          <w:rStyle w:val="default"/>
          <w:rFonts w:cs="FrankRuehl"/>
          <w:rtl/>
        </w:rPr>
      </w:pPr>
      <w:r>
        <w:rPr>
          <w:rStyle w:val="default"/>
          <w:rFonts w:cs="FrankRuehl" w:hint="cs"/>
          <w:rtl/>
        </w:rPr>
        <w:t xml:space="preserve">"מקום חניה נגיש לרכב גבוה" </w:t>
      </w:r>
      <w:r>
        <w:rPr>
          <w:rStyle w:val="default"/>
          <w:rFonts w:cs="FrankRuehl"/>
          <w:rtl/>
        </w:rPr>
        <w:t>–</w:t>
      </w:r>
      <w:r>
        <w:rPr>
          <w:rStyle w:val="default"/>
          <w:rFonts w:cs="FrankRuehl" w:hint="cs"/>
          <w:rtl/>
        </w:rPr>
        <w:t xml:space="preserve"> לפי הדרישות בטור ג שלצד פרט משנה (2) בטבלה שבפרט 2 בתוספת הראשונה;</w:t>
      </w:r>
    </w:p>
    <w:p w14:paraId="1134215D" w14:textId="77777777" w:rsidR="00BE726D" w:rsidRDefault="00BE726D" w:rsidP="00BE726D">
      <w:pPr>
        <w:pStyle w:val="P000"/>
        <w:spacing w:before="72"/>
        <w:ind w:left="1021" w:right="1134"/>
        <w:rPr>
          <w:rStyle w:val="default"/>
          <w:rFonts w:cs="FrankRuehl"/>
          <w:rtl/>
        </w:rPr>
      </w:pPr>
      <w:r>
        <w:rPr>
          <w:rStyle w:val="default"/>
          <w:rFonts w:cs="FrankRuehl" w:hint="cs"/>
          <w:rtl/>
        </w:rPr>
        <w:t xml:space="preserve">"אחראי" </w:t>
      </w:r>
      <w:r>
        <w:rPr>
          <w:rStyle w:val="default"/>
          <w:rFonts w:cs="FrankRuehl"/>
          <w:rtl/>
        </w:rPr>
        <w:t>–</w:t>
      </w:r>
      <w:r>
        <w:rPr>
          <w:rStyle w:val="default"/>
          <w:rFonts w:cs="FrankRuehl" w:hint="cs"/>
          <w:rtl/>
        </w:rPr>
        <w:t xml:space="preserve"> כל אחד מאלה:</w:t>
      </w:r>
    </w:p>
    <w:p w14:paraId="17F095A0" w14:textId="77777777" w:rsidR="00BE726D" w:rsidRDefault="00BE726D" w:rsidP="00BE726D">
      <w:pPr>
        <w:pStyle w:val="P000"/>
        <w:spacing w:before="72"/>
        <w:ind w:left="1474" w:right="1134"/>
        <w:rPr>
          <w:rStyle w:val="default"/>
          <w:rFonts w:cs="FrankRuehl"/>
          <w:rtl/>
        </w:rPr>
      </w:pPr>
      <w:r>
        <w:rPr>
          <w:rStyle w:val="default"/>
          <w:rFonts w:cs="FrankRuehl" w:hint="cs"/>
          <w:rtl/>
        </w:rPr>
        <w:lastRenderedPageBreak/>
        <w:t>(1)</w:t>
      </w:r>
      <w:r>
        <w:rPr>
          <w:rStyle w:val="default"/>
          <w:rFonts w:cs="FrankRuehl" w:hint="cs"/>
          <w:rtl/>
        </w:rPr>
        <w:tab/>
        <w:t>רשות ציבורית;</w:t>
      </w:r>
    </w:p>
    <w:p w14:paraId="03A8CE61" w14:textId="77777777" w:rsidR="00BE726D" w:rsidRDefault="00BE726D" w:rsidP="00BE726D">
      <w:pPr>
        <w:pStyle w:val="P000"/>
        <w:spacing w:before="72"/>
        <w:ind w:left="1474" w:right="1134"/>
        <w:rPr>
          <w:rStyle w:val="default"/>
          <w:rFonts w:cs="FrankRuehl"/>
          <w:rtl/>
        </w:rPr>
      </w:pPr>
      <w:r>
        <w:rPr>
          <w:rStyle w:val="default"/>
          <w:rFonts w:cs="FrankRuehl" w:hint="cs"/>
          <w:rtl/>
        </w:rPr>
        <w:t>(2)</w:t>
      </w:r>
      <w:r>
        <w:rPr>
          <w:rStyle w:val="default"/>
          <w:rFonts w:cs="FrankRuehl" w:hint="cs"/>
          <w:rtl/>
        </w:rPr>
        <w:tab/>
        <w:t>נותן שירות ציבורי שהוא חובה המוטלת על הציבור לפי חיקוק כגון בדיקת חובה, רישום חובה או תשלום חובה, ובנק למעט לגבי שירות של שמירת חפצי ערך בכספות;</w:t>
      </w:r>
    </w:p>
    <w:p w14:paraId="5F190977" w14:textId="64C14071" w:rsidR="00A0600A" w:rsidRDefault="00BE726D" w:rsidP="00BE726D">
      <w:pPr>
        <w:pStyle w:val="Hesber1st"/>
        <w:rPr>
          <w:rtl/>
        </w:rPr>
      </w:pPr>
      <w:r>
        <w:rPr>
          <w:rStyle w:val="default"/>
          <w:rFonts w:cs="FrankRuehl" w:hint="cs"/>
          <w:rtl/>
        </w:rPr>
        <w:tab/>
      </w:r>
      <w:r>
        <w:rPr>
          <w:rStyle w:val="default"/>
          <w:rFonts w:cs="FrankRuehl" w:hint="cs"/>
          <w:rtl/>
        </w:rPr>
        <w:tab/>
      </w:r>
      <w:r>
        <w:rPr>
          <w:rStyle w:val="default"/>
          <w:rFonts w:cs="FrankRuehl" w:hint="cs"/>
          <w:rtl/>
        </w:rPr>
        <w:tab/>
        <w:t>(3)    אחראי לשירות ציבורי של סניף דואר, בית דואר לרבות מיתקן לחלוקת דואר וסוכנות דואר.</w:t>
      </w:r>
      <w:r>
        <w:rPr>
          <w:rFonts w:hint="cs"/>
          <w:rtl/>
        </w:rPr>
        <w:t>"</w:t>
      </w:r>
    </w:p>
    <w:p w14:paraId="23682101" w14:textId="6CC6EB38" w:rsidR="00E022D2" w:rsidRDefault="00E022D2">
      <w:pPr>
        <w:widowControl/>
        <w:bidi w:val="0"/>
        <w:spacing w:after="200" w:line="276" w:lineRule="auto"/>
        <w:ind w:left="0"/>
        <w:contextualSpacing w:val="0"/>
        <w:jc w:val="left"/>
        <w:rPr>
          <w:rFonts w:ascii="Arial" w:eastAsia="Arial Unicode MS" w:hAnsi="Arial"/>
          <w:snapToGrid w:val="0"/>
          <w:sz w:val="20"/>
          <w:szCs w:val="26"/>
          <w:rtl/>
        </w:rPr>
      </w:pPr>
      <w:r>
        <w:rPr>
          <w:rtl/>
        </w:rPr>
        <w:br w:type="page"/>
      </w:r>
    </w:p>
    <w:p w14:paraId="32C978F2" w14:textId="77777777" w:rsidR="00E022D2" w:rsidRPr="007E2FF7" w:rsidRDefault="00E022D2" w:rsidP="00E022D2">
      <w:pPr>
        <w:rPr>
          <w:rFonts w:ascii="DaunPenh" w:hAnsi="DaunPenh"/>
          <w:b/>
          <w:bCs/>
          <w:sz w:val="32"/>
          <w:szCs w:val="32"/>
        </w:rPr>
      </w:pPr>
      <w:r w:rsidRPr="003C29D7">
        <w:rPr>
          <w:rFonts w:ascii="DaunPenh" w:hAnsi="DaunPenh" w:hint="cs"/>
          <w:b/>
          <w:bCs/>
          <w:sz w:val="32"/>
          <w:szCs w:val="32"/>
          <w:rtl/>
        </w:rPr>
        <w:lastRenderedPageBreak/>
        <w:t xml:space="preserve">חלק א </w:t>
      </w:r>
      <w:r w:rsidRPr="003C29D7">
        <w:rPr>
          <w:rFonts w:ascii="DaunPenh" w:hAnsi="DaunPenh"/>
          <w:b/>
          <w:bCs/>
          <w:sz w:val="32"/>
          <w:szCs w:val="32"/>
          <w:rtl/>
        </w:rPr>
        <w:t>–</w:t>
      </w:r>
      <w:r w:rsidRPr="003C29D7">
        <w:rPr>
          <w:rFonts w:ascii="DaunPenh" w:hAnsi="DaunPenh" w:hint="cs"/>
          <w:b/>
          <w:bCs/>
          <w:sz w:val="32"/>
          <w:szCs w:val="32"/>
          <w:rtl/>
        </w:rPr>
        <w:t xml:space="preserve"> הגדרת הצורך בהתערבות</w:t>
      </w:r>
      <w:r>
        <w:rPr>
          <w:rFonts w:ascii="DaunPenh" w:hAnsi="DaunPenh" w:hint="cs"/>
          <w:b/>
          <w:bCs/>
          <w:sz w:val="32"/>
          <w:szCs w:val="32"/>
          <w:rtl/>
        </w:rPr>
        <w:t xml:space="preserve"> ממשלתית</w:t>
      </w:r>
    </w:p>
    <w:p w14:paraId="76319CF3" w14:textId="77777777" w:rsidR="00E022D2" w:rsidRDefault="00E022D2" w:rsidP="00E022D2">
      <w:pPr>
        <w:pStyle w:val="ListParagraph"/>
        <w:numPr>
          <w:ilvl w:val="0"/>
          <w:numId w:val="43"/>
        </w:numPr>
        <w:spacing w:after="120" w:line="360" w:lineRule="auto"/>
        <w:contextualSpacing w:val="0"/>
        <w:rPr>
          <w:rFonts w:ascii="DaunPenh" w:hAnsi="DaunPenh"/>
          <w:sz w:val="28"/>
          <w:szCs w:val="28"/>
          <w:u w:val="single"/>
        </w:rPr>
      </w:pPr>
      <w:r w:rsidRPr="00283C6B">
        <w:rPr>
          <w:rFonts w:ascii="DaunPenh" w:hAnsi="DaunPenh" w:hint="cs"/>
          <w:sz w:val="28"/>
          <w:szCs w:val="28"/>
          <w:u w:val="single"/>
          <w:rtl/>
        </w:rPr>
        <w:t>רקע</w:t>
      </w:r>
      <w:r>
        <w:rPr>
          <w:rFonts w:ascii="DaunPenh" w:hAnsi="DaunPenh" w:hint="cs"/>
          <w:sz w:val="28"/>
          <w:szCs w:val="28"/>
          <w:u w:val="single"/>
          <w:rtl/>
        </w:rPr>
        <w:t xml:space="preserve"> והאינטרס הציבורי המוגן</w:t>
      </w:r>
    </w:p>
    <w:p w14:paraId="685F0997" w14:textId="77777777" w:rsidR="00E022D2" w:rsidRPr="00E07569" w:rsidRDefault="00E022D2" w:rsidP="00E022D2">
      <w:pPr>
        <w:rPr>
          <w:rtl/>
        </w:rPr>
      </w:pPr>
      <w:r w:rsidRPr="00FF23E1">
        <w:rPr>
          <w:rFonts w:hint="cs"/>
          <w:rtl/>
        </w:rPr>
        <w:t>נציבות</w:t>
      </w:r>
      <w:r w:rsidRPr="00FF23E1">
        <w:rPr>
          <w:rtl/>
        </w:rPr>
        <w:t xml:space="preserve"> </w:t>
      </w:r>
      <w:r w:rsidRPr="00FF23E1">
        <w:rPr>
          <w:rFonts w:hint="cs"/>
          <w:rtl/>
        </w:rPr>
        <w:t>שוויון</w:t>
      </w:r>
      <w:r w:rsidRPr="00FF23E1">
        <w:rPr>
          <w:rtl/>
        </w:rPr>
        <w:t xml:space="preserve"> </w:t>
      </w:r>
      <w:r w:rsidRPr="00FF23E1">
        <w:rPr>
          <w:rFonts w:hint="cs"/>
          <w:rtl/>
        </w:rPr>
        <w:t>זכויות</w:t>
      </w:r>
      <w:r w:rsidRPr="00FF23E1">
        <w:rPr>
          <w:rtl/>
        </w:rPr>
        <w:t xml:space="preserve"> </w:t>
      </w:r>
      <w:r w:rsidRPr="00FF23E1">
        <w:rPr>
          <w:rFonts w:hint="cs"/>
          <w:rtl/>
        </w:rPr>
        <w:t>לאנשים</w:t>
      </w:r>
      <w:r w:rsidRPr="00FF23E1">
        <w:rPr>
          <w:rtl/>
        </w:rPr>
        <w:t xml:space="preserve"> </w:t>
      </w:r>
      <w:r w:rsidRPr="00FF23E1">
        <w:rPr>
          <w:rFonts w:hint="cs"/>
          <w:rtl/>
        </w:rPr>
        <w:t>עם</w:t>
      </w:r>
      <w:r w:rsidRPr="00FF23E1">
        <w:rPr>
          <w:rtl/>
        </w:rPr>
        <w:t xml:space="preserve"> </w:t>
      </w:r>
      <w:r w:rsidRPr="00FF23E1">
        <w:rPr>
          <w:rFonts w:hint="cs"/>
          <w:rtl/>
        </w:rPr>
        <w:t>מוגבלות</w:t>
      </w:r>
      <w:r w:rsidRPr="00FF23E1">
        <w:rPr>
          <w:rtl/>
        </w:rPr>
        <w:t xml:space="preserve"> </w:t>
      </w:r>
      <w:r w:rsidRPr="00FF23E1">
        <w:rPr>
          <w:rFonts w:hint="cs"/>
          <w:rtl/>
        </w:rPr>
        <w:t>היא</w:t>
      </w:r>
      <w:r w:rsidRPr="00FF23E1">
        <w:rPr>
          <w:rtl/>
        </w:rPr>
        <w:t xml:space="preserve"> </w:t>
      </w:r>
      <w:r w:rsidRPr="00FF23E1">
        <w:rPr>
          <w:rFonts w:hint="cs"/>
          <w:rtl/>
        </w:rPr>
        <w:t>יחידה</w:t>
      </w:r>
      <w:r w:rsidRPr="00FF23E1">
        <w:rPr>
          <w:rtl/>
        </w:rPr>
        <w:t xml:space="preserve"> </w:t>
      </w:r>
      <w:r w:rsidRPr="00FF23E1">
        <w:rPr>
          <w:rFonts w:hint="cs"/>
          <w:rtl/>
        </w:rPr>
        <w:t>במשרד</w:t>
      </w:r>
      <w:r w:rsidRPr="00FF23E1">
        <w:rPr>
          <w:rtl/>
        </w:rPr>
        <w:t xml:space="preserve"> </w:t>
      </w:r>
      <w:r w:rsidRPr="00FF23E1">
        <w:rPr>
          <w:rFonts w:hint="cs"/>
          <w:rtl/>
        </w:rPr>
        <w:t>המשפטים</w:t>
      </w:r>
      <w:r w:rsidRPr="00FF23E1">
        <w:rPr>
          <w:rtl/>
        </w:rPr>
        <w:t xml:space="preserve"> </w:t>
      </w:r>
      <w:r w:rsidRPr="00FF23E1">
        <w:rPr>
          <w:rFonts w:hint="cs"/>
          <w:rtl/>
        </w:rPr>
        <w:t>אשר</w:t>
      </w:r>
      <w:r w:rsidRPr="00FF23E1">
        <w:rPr>
          <w:rtl/>
        </w:rPr>
        <w:t xml:space="preserve"> </w:t>
      </w:r>
      <w:r w:rsidRPr="00FF23E1">
        <w:rPr>
          <w:rFonts w:hint="cs"/>
          <w:rtl/>
        </w:rPr>
        <w:t>פועלת</w:t>
      </w:r>
      <w:r w:rsidRPr="00FF23E1">
        <w:rPr>
          <w:rtl/>
        </w:rPr>
        <w:t xml:space="preserve"> </w:t>
      </w:r>
      <w:r w:rsidRPr="00FF23E1">
        <w:rPr>
          <w:rFonts w:hint="cs"/>
          <w:rtl/>
        </w:rPr>
        <w:t>למניעת</w:t>
      </w:r>
      <w:r w:rsidRPr="00FF23E1">
        <w:rPr>
          <w:rtl/>
        </w:rPr>
        <w:t xml:space="preserve"> </w:t>
      </w:r>
      <w:r w:rsidRPr="00217543">
        <w:rPr>
          <w:rFonts w:hint="cs"/>
          <w:rtl/>
        </w:rPr>
        <w:t>אפליה</w:t>
      </w:r>
      <w:r w:rsidRPr="00217543">
        <w:rPr>
          <w:rtl/>
        </w:rPr>
        <w:t xml:space="preserve"> </w:t>
      </w:r>
      <w:r w:rsidRPr="00217543">
        <w:rPr>
          <w:rFonts w:hint="cs"/>
          <w:rtl/>
        </w:rPr>
        <w:t>ולקידום</w:t>
      </w:r>
      <w:r w:rsidRPr="00217543">
        <w:rPr>
          <w:rtl/>
        </w:rPr>
        <w:t xml:space="preserve"> </w:t>
      </w:r>
      <w:r w:rsidRPr="00217543">
        <w:rPr>
          <w:rFonts w:hint="cs"/>
          <w:rtl/>
        </w:rPr>
        <w:t>השתלבותם</w:t>
      </w:r>
      <w:r w:rsidRPr="00217543">
        <w:rPr>
          <w:rtl/>
        </w:rPr>
        <w:t xml:space="preserve"> </w:t>
      </w:r>
      <w:r w:rsidRPr="00217543">
        <w:rPr>
          <w:rFonts w:hint="cs"/>
          <w:rtl/>
        </w:rPr>
        <w:t>של</w:t>
      </w:r>
      <w:r w:rsidRPr="00217543">
        <w:rPr>
          <w:rtl/>
        </w:rPr>
        <w:t xml:space="preserve"> </w:t>
      </w:r>
      <w:r w:rsidRPr="00217543">
        <w:rPr>
          <w:rFonts w:hint="cs"/>
          <w:rtl/>
        </w:rPr>
        <w:t>אנשים</w:t>
      </w:r>
      <w:r w:rsidRPr="00217543">
        <w:rPr>
          <w:rtl/>
        </w:rPr>
        <w:t xml:space="preserve"> </w:t>
      </w:r>
      <w:r w:rsidRPr="00217543">
        <w:rPr>
          <w:rFonts w:hint="cs"/>
          <w:rtl/>
        </w:rPr>
        <w:t>עם</w:t>
      </w:r>
      <w:r w:rsidRPr="00217543">
        <w:rPr>
          <w:rtl/>
        </w:rPr>
        <w:t xml:space="preserve"> </w:t>
      </w:r>
      <w:r w:rsidRPr="00217543">
        <w:rPr>
          <w:rFonts w:hint="cs"/>
          <w:rtl/>
        </w:rPr>
        <w:t>מוגבלות</w:t>
      </w:r>
      <w:r w:rsidRPr="00217543">
        <w:rPr>
          <w:rtl/>
        </w:rPr>
        <w:t xml:space="preserve"> </w:t>
      </w:r>
      <w:r w:rsidRPr="00217543">
        <w:rPr>
          <w:rFonts w:hint="cs"/>
          <w:rtl/>
        </w:rPr>
        <w:t>בחברה</w:t>
      </w:r>
      <w:r w:rsidRPr="00217543">
        <w:rPr>
          <w:rtl/>
        </w:rPr>
        <w:t xml:space="preserve"> </w:t>
      </w:r>
      <w:r w:rsidRPr="00217543">
        <w:rPr>
          <w:rFonts w:hint="cs"/>
          <w:rtl/>
        </w:rPr>
        <w:t>הישראלית</w:t>
      </w:r>
      <w:r w:rsidRPr="00217543">
        <w:rPr>
          <w:rtl/>
        </w:rPr>
        <w:t>.</w:t>
      </w:r>
      <w:r w:rsidRPr="00217543">
        <w:rPr>
          <w:rFonts w:hint="cs"/>
          <w:rtl/>
        </w:rPr>
        <w:t xml:space="preserve"> בישראל חיים כ- 1,412,000 אנשים</w:t>
      </w:r>
      <w:r>
        <w:rPr>
          <w:rFonts w:hint="cs"/>
          <w:rtl/>
        </w:rPr>
        <w:t xml:space="preserve"> עם מוגבלות. על פי נתוני </w:t>
      </w:r>
      <w:proofErr w:type="spellStart"/>
      <w:r>
        <w:rPr>
          <w:rFonts w:hint="cs"/>
          <w:rtl/>
        </w:rPr>
        <w:t>הלמ"ס</w:t>
      </w:r>
      <w:proofErr w:type="spellEnd"/>
      <w:r>
        <w:rPr>
          <w:rFonts w:hint="cs"/>
          <w:rtl/>
        </w:rPr>
        <w:t xml:space="preserve">, בשנת 2015 דיווחו 48% </w:t>
      </w:r>
      <w:r w:rsidRPr="00E77D33">
        <w:rPr>
          <w:rtl/>
        </w:rPr>
        <w:t>מתוך כלל האנשים עם מוגבלות בגיל 20</w:t>
      </w:r>
      <w:r>
        <w:rPr>
          <w:rFonts w:hint="cs"/>
          <w:rtl/>
        </w:rPr>
        <w:t xml:space="preserve"> ומעלה כי </w:t>
      </w:r>
      <w:r w:rsidRPr="00E77D33">
        <w:rPr>
          <w:rtl/>
        </w:rPr>
        <w:t>יש להם קושי רב בהליכה או שאינם מסוגלים ללכת כלל</w:t>
      </w:r>
      <w:r>
        <w:rPr>
          <w:rFonts w:hint="cs"/>
          <w:rtl/>
        </w:rPr>
        <w:t>.</w:t>
      </w:r>
      <w:r w:rsidRPr="00E77D33">
        <w:t xml:space="preserve"> </w:t>
      </w:r>
      <w:r>
        <w:rPr>
          <w:rFonts w:hint="cs"/>
          <w:rtl/>
        </w:rPr>
        <w:t xml:space="preserve"> הנציבות פועלת במספר מישורים לצורך השגת תכליותיה: </w:t>
      </w:r>
    </w:p>
    <w:p w14:paraId="20FFD4AD" w14:textId="77777777" w:rsidR="00E022D2" w:rsidRPr="00007AC0" w:rsidRDefault="00E022D2" w:rsidP="00E022D2">
      <w:r w:rsidRPr="00007AC0">
        <w:rPr>
          <w:b/>
          <w:bCs/>
          <w:rtl/>
        </w:rPr>
        <w:t>הנציבות אוכפת את תקנות הנגישות</w:t>
      </w:r>
      <w:r w:rsidRPr="00007AC0">
        <w:rPr>
          <w:b/>
          <w:bCs/>
        </w:rPr>
        <w:t xml:space="preserve"> –</w:t>
      </w:r>
      <w:r w:rsidRPr="00007AC0">
        <w:t> </w:t>
      </w:r>
      <w:r w:rsidRPr="00007AC0">
        <w:rPr>
          <w:rtl/>
        </w:rPr>
        <w:t>הנציבות מפעילה מערך פיקוח מקצועי בפרישה ארצית בתחומי נגישות השירות ונגישות מבנים תשתיות וסביבה (</w:t>
      </w:r>
      <w:proofErr w:type="spellStart"/>
      <w:r w:rsidRPr="00007AC0">
        <w:rPr>
          <w:rtl/>
        </w:rPr>
        <w:t>מתו"ס</w:t>
      </w:r>
      <w:proofErr w:type="spellEnd"/>
      <w:r w:rsidRPr="00007AC0">
        <w:rPr>
          <w:rtl/>
        </w:rPr>
        <w:t>). המפקחים יוצאים לשטח ובודקים את מצב ההנגשה בפועל בתחומים שונים, על פי קריטריונים מקצועיים, ופונים לחייבים לתיקון הליקויים. ננקטים הליכים משפטיים לפי הצורך</w:t>
      </w:r>
      <w:r w:rsidRPr="00007AC0">
        <w:t>.</w:t>
      </w:r>
    </w:p>
    <w:p w14:paraId="118EBD21" w14:textId="77777777" w:rsidR="00E022D2" w:rsidRPr="00007AC0" w:rsidRDefault="00E022D2" w:rsidP="00E022D2">
      <w:r w:rsidRPr="00007AC0">
        <w:t> </w:t>
      </w:r>
      <w:r w:rsidRPr="00007AC0">
        <w:rPr>
          <w:b/>
          <w:bCs/>
          <w:rtl/>
        </w:rPr>
        <w:t>הנציבות פועלת למניעת אפליה</w:t>
      </w:r>
      <w:r w:rsidRPr="00007AC0">
        <w:t> </w:t>
      </w:r>
      <w:r w:rsidRPr="00007AC0">
        <w:rPr>
          <w:rtl/>
        </w:rPr>
        <w:t>ולקידום השתלבותם של אנשים עם מוגבלות בחברה הישראלית, כאזרחים שווי זכויות וחובות במגוון תחומי החיים. ביניהם, תעסוקה, דיור, חינוך, כשרות משפטית ואפוטרופסות, בטחון סוציאלי, וכן תרבות ופנאי. לשם השגת מטרות אלו, הנציבות יוצרת שיתופי פעולה עם גורמים רלוונטיים בכל המגזרים - בממשלה, ברשויות המקומיות, במגזר הפרטי ובמגזר השלישי</w:t>
      </w:r>
      <w:r w:rsidRPr="00007AC0">
        <w:t>.</w:t>
      </w:r>
    </w:p>
    <w:p w14:paraId="2BFA4B05" w14:textId="77777777" w:rsidR="00E022D2" w:rsidRPr="00007AC0" w:rsidRDefault="00E022D2" w:rsidP="00E022D2">
      <w:r w:rsidRPr="00007AC0">
        <w:t> </w:t>
      </w:r>
      <w:r w:rsidRPr="00007AC0">
        <w:rPr>
          <w:b/>
          <w:bCs/>
          <w:rtl/>
        </w:rPr>
        <w:t>הנציבות פועלת לקידום מדיניות</w:t>
      </w:r>
      <w:r>
        <w:t xml:space="preserve"> </w:t>
      </w:r>
      <w:r w:rsidRPr="00007AC0">
        <w:t> </w:t>
      </w:r>
      <w:r w:rsidRPr="00007AC0">
        <w:rPr>
          <w:rtl/>
        </w:rPr>
        <w:t>הנוגעת לזכויות אנשים עם מוגבלות, וכן נותנת מענה ליחידים. זאת באמצעות ייעוץ מקצועי, מענה משפטי לפניות ציבור, פיקוח, הגשת כתבי אישום ותובענות אזרחיות, קידום וייזום חקיקה, ניטור האמנה הבינלאומית בדבר זכויות אנשים עם מוגבלות והטמעתה, ארגון כנסים וימי עיון, הפצה ועריכה של חומרי הסברה וספרים, איסוף נתונים ומידע ועוד</w:t>
      </w:r>
      <w:r w:rsidRPr="00007AC0">
        <w:t>.</w:t>
      </w:r>
    </w:p>
    <w:p w14:paraId="3C1CC2DA" w14:textId="77777777" w:rsidR="00E022D2" w:rsidRDefault="00E022D2" w:rsidP="00E022D2">
      <w:pPr>
        <w:rPr>
          <w:color w:val="FF0000"/>
          <w:rtl/>
        </w:rPr>
      </w:pPr>
      <w:r>
        <w:rPr>
          <w:rFonts w:hint="cs"/>
          <w:rtl/>
        </w:rPr>
        <w:t xml:space="preserve">כאמור, </w:t>
      </w:r>
      <w:r w:rsidRPr="00FF23E1">
        <w:rPr>
          <w:rFonts w:hint="cs"/>
          <w:rtl/>
        </w:rPr>
        <w:t>אחת הסוגיות החשובות עליהן אמונה הרשות נוגעת לשווי</w:t>
      </w:r>
      <w:r>
        <w:rPr>
          <w:rFonts w:hint="cs"/>
          <w:rtl/>
        </w:rPr>
        <w:t xml:space="preserve">ון בצריכה של שירותים ציבוריים. חוק שוויון זכויות לאנשים עם מוגבלות מחייב כי מקום ציבורי ושירות ציבורי (מקומות ושירותים שניתנים לכלל הציבור) יהיו נגישים לאנשים עם מוגבלות. </w:t>
      </w:r>
      <w:r w:rsidRPr="00FF23E1">
        <w:rPr>
          <w:rFonts w:hint="cs"/>
          <w:rtl/>
        </w:rPr>
        <w:t>שלושה ס</w:t>
      </w:r>
      <w:r>
        <w:rPr>
          <w:rFonts w:hint="cs"/>
          <w:rtl/>
        </w:rPr>
        <w:t xml:space="preserve">טים של תקנות מסדירות נושא זה: </w:t>
      </w:r>
      <w:r w:rsidRPr="00FF23E1">
        <w:rPr>
          <w:rFonts w:hint="cs"/>
          <w:rtl/>
        </w:rPr>
        <w:t>תקנות בניין קיים</w:t>
      </w:r>
      <w:r>
        <w:rPr>
          <w:rFonts w:hint="cs"/>
          <w:rtl/>
        </w:rPr>
        <w:t xml:space="preserve"> ותקנות נגישות השירות שבסמכות שר המשפטים</w:t>
      </w:r>
      <w:r w:rsidRPr="00FF23E1">
        <w:rPr>
          <w:rFonts w:hint="cs"/>
          <w:rtl/>
        </w:rPr>
        <w:t xml:space="preserve">, </w:t>
      </w:r>
      <w:r>
        <w:rPr>
          <w:rFonts w:hint="cs"/>
          <w:rtl/>
        </w:rPr>
        <w:t>ו</w:t>
      </w:r>
      <w:r w:rsidRPr="00FF23E1">
        <w:rPr>
          <w:rFonts w:hint="cs"/>
          <w:rtl/>
        </w:rPr>
        <w:t xml:space="preserve">תקנות </w:t>
      </w:r>
      <w:r>
        <w:rPr>
          <w:rFonts w:hint="cs"/>
          <w:rtl/>
        </w:rPr>
        <w:t>התכנון והבניה (בקשה להיתר, תנאיו ואגרות) שבהן קבועות ההוראות בנוגע ל</w:t>
      </w:r>
      <w:r w:rsidRPr="00FF23E1">
        <w:rPr>
          <w:rFonts w:hint="cs"/>
          <w:rtl/>
        </w:rPr>
        <w:t xml:space="preserve">בניין חדש. </w:t>
      </w:r>
      <w:r>
        <w:rPr>
          <w:rFonts w:hint="cs"/>
          <w:rtl/>
        </w:rPr>
        <w:t xml:space="preserve">במסגרת התקנות הללו נכללות גם הוראות פטור מלא או חלקי מהנגשה. </w:t>
      </w:r>
    </w:p>
    <w:p w14:paraId="366BFC56" w14:textId="77777777" w:rsidR="00E022D2" w:rsidRPr="000010AE" w:rsidRDefault="00E022D2" w:rsidP="00E022D2">
      <w:pPr>
        <w:rPr>
          <w:b/>
          <w:bCs/>
          <w:u w:val="single"/>
          <w:rtl/>
        </w:rPr>
      </w:pPr>
      <w:r w:rsidRPr="000010AE">
        <w:rPr>
          <w:rFonts w:hint="cs"/>
          <w:b/>
          <w:bCs/>
          <w:u w:val="single"/>
          <w:rtl/>
        </w:rPr>
        <w:t xml:space="preserve">להלן ההסדרים </w:t>
      </w:r>
      <w:r>
        <w:rPr>
          <w:rFonts w:hint="cs"/>
          <w:b/>
          <w:bCs/>
          <w:u w:val="single"/>
          <w:rtl/>
        </w:rPr>
        <w:t xml:space="preserve">הרלבנטיים </w:t>
      </w:r>
      <w:r w:rsidRPr="000010AE">
        <w:rPr>
          <w:rFonts w:hint="cs"/>
          <w:b/>
          <w:bCs/>
          <w:u w:val="single"/>
          <w:rtl/>
        </w:rPr>
        <w:t xml:space="preserve">הקיימים היום לפי סוגי הנושאים שלגביהן מסדירות התקנות נגישות: </w:t>
      </w:r>
    </w:p>
    <w:p w14:paraId="67BC5298" w14:textId="77777777" w:rsidR="00E022D2" w:rsidRPr="00FF23E1" w:rsidRDefault="00E022D2" w:rsidP="00E022D2">
      <w:pPr>
        <w:pStyle w:val="ListParagraph"/>
        <w:numPr>
          <w:ilvl w:val="0"/>
          <w:numId w:val="44"/>
        </w:numPr>
        <w:spacing w:after="200" w:line="360" w:lineRule="auto"/>
        <w:ind w:left="360"/>
        <w:rPr>
          <w:sz w:val="24"/>
        </w:rPr>
      </w:pPr>
      <w:r w:rsidRPr="00247DFC">
        <w:rPr>
          <w:rFonts w:hint="cs"/>
          <w:sz w:val="24"/>
          <w:u w:val="single"/>
          <w:rtl/>
        </w:rPr>
        <w:t>בניין קיים</w:t>
      </w:r>
      <w:r w:rsidRPr="00247DFC">
        <w:rPr>
          <w:rFonts w:hint="cs"/>
          <w:sz w:val="24"/>
          <w:rtl/>
        </w:rPr>
        <w:t xml:space="preserve"> </w:t>
      </w:r>
      <w:r w:rsidRPr="00247DFC">
        <w:rPr>
          <w:sz w:val="24"/>
          <w:rtl/>
        </w:rPr>
        <w:t>–</w:t>
      </w:r>
      <w:r w:rsidRPr="00247DFC">
        <w:rPr>
          <w:rFonts w:hint="cs"/>
          <w:sz w:val="24"/>
          <w:rtl/>
        </w:rPr>
        <w:t xml:space="preserve">  </w:t>
      </w:r>
      <w:r w:rsidRPr="00247DFC">
        <w:rPr>
          <w:b/>
          <w:bCs/>
          <w:sz w:val="24"/>
          <w:rtl/>
        </w:rPr>
        <w:t>בנין קיים, הינו בניין אשר היתר הבניה להקמתו או לשימוש בו כמקום ציבורי ניתן לפני חודש אוגוסט 2009</w:t>
      </w:r>
      <w:r>
        <w:rPr>
          <w:rFonts w:hint="cs"/>
          <w:sz w:val="24"/>
          <w:rtl/>
        </w:rPr>
        <w:t>.</w:t>
      </w:r>
      <w:r w:rsidRPr="00247DFC">
        <w:rPr>
          <w:sz w:val="24"/>
        </w:rPr>
        <w:t> </w:t>
      </w:r>
      <w:r w:rsidRPr="00247DFC">
        <w:rPr>
          <w:rFonts w:hint="cs"/>
          <w:sz w:val="24"/>
          <w:rtl/>
        </w:rPr>
        <w:t xml:space="preserve">התקנות מחייבות את הבעלים, המחזיק והמפעיל לבצע בדיקה של נגישות הבניין ובהתאם לתוצאות הבדיקה לבצע התאמות נגישות. </w:t>
      </w:r>
      <w:r w:rsidRPr="00247DFC">
        <w:rPr>
          <w:sz w:val="24"/>
          <w:rtl/>
        </w:rPr>
        <w:t xml:space="preserve">במקרים מסוימים המפורטים בתקנות, ניתן לקבל פטור מביצוע ההתאמות נגישות לאנשים עם מוגבלות. קבלת פטור אינה פוטרת במקרים מסוימים מביצוע מלא, אלא מובילה לביצוע מופחת או במקרה של רשות ציבורית למעבר למקום </w:t>
      </w:r>
      <w:r>
        <w:rPr>
          <w:rFonts w:hint="cs"/>
          <w:sz w:val="24"/>
          <w:rtl/>
        </w:rPr>
        <w:t>נגיש.</w:t>
      </w:r>
      <w:r w:rsidRPr="00247DFC">
        <w:rPr>
          <w:sz w:val="24"/>
          <w:rtl/>
        </w:rPr>
        <w:t xml:space="preserve"> </w:t>
      </w:r>
      <w:r>
        <w:rPr>
          <w:rFonts w:hint="cs"/>
          <w:sz w:val="24"/>
          <w:rtl/>
        </w:rPr>
        <w:t xml:space="preserve">פטור </w:t>
      </w:r>
      <w:r w:rsidRPr="000010AE">
        <w:rPr>
          <w:rFonts w:hint="cs"/>
          <w:sz w:val="24"/>
          <w:rtl/>
        </w:rPr>
        <w:t>יכול לקום בשל אחת מהעילות הבאות: ההתאמה אינה ניתנת לביצוע מסיבות הנדסיות; התאמת הנגישות פוגעת באופיו המיוחד של בניין קיים, ביצוע ההתאמה יהווה נטל כבד מדי</w:t>
      </w:r>
      <w:r>
        <w:rPr>
          <w:rFonts w:hint="cs"/>
          <w:sz w:val="24"/>
          <w:rtl/>
        </w:rPr>
        <w:t xml:space="preserve"> (פטור זה אינו חל לגבי רשות ציבורית)</w:t>
      </w:r>
      <w:r w:rsidRPr="000010AE">
        <w:rPr>
          <w:rFonts w:hint="cs"/>
          <w:sz w:val="24"/>
          <w:rtl/>
        </w:rPr>
        <w:t>; ביצוע ההתאמה יגרום לשינוי יסודי במהות השירות או לפגיעה באופיו המיוחד של מקום ציבורי</w:t>
      </w:r>
      <w:r>
        <w:rPr>
          <w:rFonts w:hint="cs"/>
          <w:sz w:val="24"/>
          <w:rtl/>
        </w:rPr>
        <w:t xml:space="preserve">. מועדי ההנגשה המתחייבים לפי החוק והתקנות הן: חייבים פרטיים </w:t>
      </w:r>
      <w:r>
        <w:rPr>
          <w:sz w:val="24"/>
          <w:rtl/>
        </w:rPr>
        <w:t>–</w:t>
      </w:r>
      <w:r>
        <w:rPr>
          <w:rFonts w:hint="cs"/>
          <w:sz w:val="24"/>
          <w:rtl/>
        </w:rPr>
        <w:t xml:space="preserve"> נובמבר 2017, רשויות ציבוריות </w:t>
      </w:r>
      <w:r>
        <w:rPr>
          <w:sz w:val="24"/>
          <w:rtl/>
        </w:rPr>
        <w:t>–</w:t>
      </w:r>
      <w:r>
        <w:rPr>
          <w:rFonts w:hint="cs"/>
          <w:sz w:val="24"/>
          <w:rtl/>
        </w:rPr>
        <w:t xml:space="preserve"> נובמבר 2018 למעט רשויות ספציפיות שניתנה להם הארכה (למדינה עד סוף 2019 עם אפשרות הארכה לסוף 2020), לרשויות מקומיות </w:t>
      </w:r>
      <w:r>
        <w:rPr>
          <w:sz w:val="24"/>
          <w:rtl/>
        </w:rPr>
        <w:t>–</w:t>
      </w:r>
      <w:r>
        <w:rPr>
          <w:rFonts w:hint="cs"/>
          <w:sz w:val="24"/>
          <w:rtl/>
        </w:rPr>
        <w:t xml:space="preserve"> עד סוף 2021.</w:t>
      </w:r>
    </w:p>
    <w:p w14:paraId="3EB98BE0" w14:textId="77777777" w:rsidR="00E022D2" w:rsidRDefault="00E022D2" w:rsidP="00E022D2">
      <w:pPr>
        <w:pStyle w:val="ListParagraph"/>
        <w:numPr>
          <w:ilvl w:val="0"/>
          <w:numId w:val="44"/>
        </w:numPr>
        <w:spacing w:after="200" w:line="360" w:lineRule="auto"/>
        <w:ind w:left="360"/>
        <w:rPr>
          <w:sz w:val="24"/>
        </w:rPr>
      </w:pPr>
      <w:r w:rsidRPr="00FF23E1">
        <w:rPr>
          <w:rFonts w:hint="cs"/>
          <w:sz w:val="24"/>
          <w:u w:val="single"/>
          <w:rtl/>
        </w:rPr>
        <w:lastRenderedPageBreak/>
        <w:t xml:space="preserve">בניין חדש </w:t>
      </w:r>
      <w:r w:rsidRPr="00FF23E1">
        <w:rPr>
          <w:sz w:val="24"/>
          <w:u w:val="single"/>
          <w:rtl/>
        </w:rPr>
        <w:t>–</w:t>
      </w:r>
      <w:r w:rsidRPr="00FF23E1">
        <w:rPr>
          <w:rFonts w:hint="cs"/>
          <w:sz w:val="24"/>
          <w:rtl/>
        </w:rPr>
        <w:t xml:space="preserve">  </w:t>
      </w:r>
      <w:r w:rsidRPr="001570CD">
        <w:rPr>
          <w:rFonts w:hint="cs"/>
          <w:sz w:val="24"/>
          <w:rtl/>
        </w:rPr>
        <w:t>ב</w:t>
      </w:r>
      <w:r w:rsidRPr="001570CD">
        <w:rPr>
          <w:sz w:val="24"/>
          <w:rtl/>
        </w:rPr>
        <w:t>ניינים אשר היתר הבניה להקמתם או לשימוש בהם כמקום ציבורי ניתן החל באוגוסט 2009, נחשבים לבניינים חדשים והם אמורים להבנות על-פי תקנות התכנון והבנייה משנת 2009</w:t>
      </w:r>
      <w:r>
        <w:rPr>
          <w:rFonts w:hint="cs"/>
          <w:sz w:val="24"/>
          <w:rtl/>
        </w:rPr>
        <w:t xml:space="preserve">. </w:t>
      </w:r>
      <w:r w:rsidRPr="001570CD">
        <w:rPr>
          <w:rFonts w:hint="cs"/>
          <w:sz w:val="24"/>
          <w:rtl/>
        </w:rPr>
        <w:t xml:space="preserve">תקנות אלו כוללות דרישות להנגשה. </w:t>
      </w:r>
    </w:p>
    <w:p w14:paraId="6F37F779" w14:textId="77777777" w:rsidR="00E022D2" w:rsidRPr="000010AE" w:rsidRDefault="00E022D2" w:rsidP="00E022D2">
      <w:pPr>
        <w:pStyle w:val="ListParagraph"/>
        <w:numPr>
          <w:ilvl w:val="0"/>
          <w:numId w:val="44"/>
        </w:numPr>
        <w:spacing w:after="200" w:line="360" w:lineRule="auto"/>
        <w:ind w:left="360"/>
        <w:rPr>
          <w:sz w:val="24"/>
        </w:rPr>
      </w:pPr>
      <w:r w:rsidRPr="000010AE">
        <w:rPr>
          <w:rFonts w:hint="cs"/>
          <w:sz w:val="24"/>
          <w:u w:val="single"/>
          <w:rtl/>
        </w:rPr>
        <w:t>תקנות השירות</w:t>
      </w:r>
      <w:r w:rsidRPr="000010AE">
        <w:rPr>
          <w:rFonts w:hint="cs"/>
          <w:sz w:val="24"/>
          <w:rtl/>
        </w:rPr>
        <w:t xml:space="preserve"> </w:t>
      </w:r>
      <w:r w:rsidRPr="000010AE">
        <w:rPr>
          <w:sz w:val="24"/>
          <w:rtl/>
        </w:rPr>
        <w:t>–</w:t>
      </w:r>
      <w:r w:rsidRPr="000010AE">
        <w:rPr>
          <w:rFonts w:hint="cs"/>
          <w:sz w:val="24"/>
          <w:rtl/>
        </w:rPr>
        <w:t xml:space="preserve">  </w:t>
      </w:r>
      <w:r w:rsidRPr="000010AE">
        <w:rPr>
          <w:sz w:val="24"/>
          <w:rtl/>
        </w:rPr>
        <w:t>תקנות נגישות לשירות חלות על כל שירות המוצע לציבור, למעט שירותים אשר לגביהם יותקנו תקנות נגישות ספציפיות</w:t>
      </w:r>
      <w:r w:rsidRPr="000010AE">
        <w:rPr>
          <w:rFonts w:hint="cs"/>
          <w:sz w:val="24"/>
          <w:rtl/>
        </w:rPr>
        <w:t xml:space="preserve"> (כגון:</w:t>
      </w:r>
      <w:r w:rsidRPr="000010AE">
        <w:rPr>
          <w:sz w:val="24"/>
          <w:rtl/>
        </w:rPr>
        <w:t xml:space="preserve"> חינוך, בריאות, תחבורה</w:t>
      </w:r>
      <w:r w:rsidRPr="000010AE">
        <w:rPr>
          <w:rFonts w:hint="cs"/>
          <w:sz w:val="24"/>
          <w:rtl/>
        </w:rPr>
        <w:t xml:space="preserve">). </w:t>
      </w:r>
      <w:r w:rsidRPr="000010AE">
        <w:rPr>
          <w:sz w:val="24"/>
          <w:rtl/>
        </w:rPr>
        <w:t>השירות החייב בהתאמות יכול שיינתן על ידי גורם פרטי, כגון בעל עסק, או על ידי גורם ציבורי, כגון משרד ממשלתי או רשות מקומית, ויכול שיינתן בתשלום, או בחינם, על ידי גורם הפועל למטרות רווח או שלא למטרות רווח</w:t>
      </w:r>
      <w:r w:rsidRPr="000010AE">
        <w:rPr>
          <w:sz w:val="24"/>
        </w:rPr>
        <w:t>.</w:t>
      </w:r>
      <w:r w:rsidRPr="000010AE">
        <w:rPr>
          <w:rFonts w:hint="cs"/>
          <w:sz w:val="24"/>
          <w:rtl/>
        </w:rPr>
        <w:t xml:space="preserve"> </w:t>
      </w:r>
      <w:r w:rsidRPr="000010AE">
        <w:rPr>
          <w:sz w:val="24"/>
          <w:rtl/>
        </w:rPr>
        <w:t xml:space="preserve">החייב </w:t>
      </w:r>
      <w:proofErr w:type="spellStart"/>
      <w:r w:rsidRPr="000010AE">
        <w:rPr>
          <w:sz w:val="24"/>
          <w:rtl/>
        </w:rPr>
        <w:t>בהנגשת</w:t>
      </w:r>
      <w:proofErr w:type="spellEnd"/>
      <w:r w:rsidRPr="000010AE">
        <w:rPr>
          <w:sz w:val="24"/>
          <w:rtl/>
        </w:rPr>
        <w:t xml:space="preserve"> השירות הנו האחראי למתן השירות לציבור, לרבות בעלי הש</w:t>
      </w:r>
      <w:r>
        <w:rPr>
          <w:sz w:val="24"/>
          <w:rtl/>
        </w:rPr>
        <w:t>ירות, המחזיק או המפעיל שלו בפוע</w:t>
      </w:r>
      <w:r>
        <w:rPr>
          <w:rFonts w:hint="cs"/>
          <w:sz w:val="24"/>
          <w:rtl/>
        </w:rPr>
        <w:t>ל. גם תקנות נגישות השירות כוללות פטורים מביצוע התאמות בהתקיים אותן העילות המפורטות לעיל.</w:t>
      </w:r>
    </w:p>
    <w:p w14:paraId="511DDAC3" w14:textId="77777777" w:rsidR="00E022D2" w:rsidRPr="00B52F08" w:rsidRDefault="00E022D2" w:rsidP="00E022D2">
      <w:r w:rsidRPr="00B52F08">
        <w:rPr>
          <w:rFonts w:hint="cs"/>
          <w:rtl/>
        </w:rPr>
        <w:t>תקנות "נגישות בניין קיים" ותקנות "נגישות השירות" מתייחסות שתיהן למקרה שבו חייב בביצוע התאמות פטור מביצוע ההתאמות או חלקן</w:t>
      </w:r>
      <w:r>
        <w:rPr>
          <w:rFonts w:hint="cs"/>
          <w:rtl/>
        </w:rPr>
        <w:t>.</w:t>
      </w:r>
    </w:p>
    <w:p w14:paraId="015E43C9" w14:textId="77777777" w:rsidR="00E022D2" w:rsidRPr="00B52F08" w:rsidRDefault="00E022D2" w:rsidP="00E022D2">
      <w:pPr>
        <w:rPr>
          <w:rtl/>
        </w:rPr>
      </w:pPr>
      <w:r w:rsidRPr="00B52F08">
        <w:rPr>
          <w:rFonts w:hint="cs"/>
          <w:rtl/>
        </w:rPr>
        <w:t xml:space="preserve">תקנה 86 לתקנות נגישות השירות קובעת שכאשר חייב קיבל פטור מהנגשה מלאה או חלקית </w:t>
      </w:r>
      <w:r w:rsidRPr="00B52F08">
        <w:rPr>
          <w:rtl/>
        </w:rPr>
        <w:t>–</w:t>
      </w:r>
      <w:r w:rsidRPr="00B52F08">
        <w:rPr>
          <w:rFonts w:hint="cs"/>
          <w:rtl/>
        </w:rPr>
        <w:t xml:space="preserve"> עליו לבצע את אותן התאמות שלגביהן אין פטור, על מנת לתת שירות לאנשים עם מוגבלות באופן בטוח, נוח, מכובד ועצמאי </w:t>
      </w:r>
      <w:r w:rsidRPr="00B52F08">
        <w:rPr>
          <w:rFonts w:hint="cs"/>
          <w:u w:val="single"/>
          <w:rtl/>
        </w:rPr>
        <w:t>ככל האפשר</w:t>
      </w:r>
      <w:r w:rsidRPr="00B52F08">
        <w:rPr>
          <w:rFonts w:hint="cs"/>
        </w:rPr>
        <w:t>.</w:t>
      </w:r>
      <w:r w:rsidRPr="00B52F08">
        <w:rPr>
          <w:rFonts w:hint="cs"/>
          <w:rtl/>
        </w:rPr>
        <w:t xml:space="preserve"> </w:t>
      </w:r>
      <w:r w:rsidRPr="00B52F08">
        <w:rPr>
          <w:rFonts w:hint="cs"/>
          <w:b/>
          <w:bCs/>
          <w:rtl/>
        </w:rPr>
        <w:t>המשמעות היא שיתכן מצב שבו חייב מספק שירות ציבורי ברמת נגישות נמוכה מאוד.</w:t>
      </w:r>
    </w:p>
    <w:p w14:paraId="185B1A70" w14:textId="77777777" w:rsidR="00E022D2" w:rsidRDefault="00E022D2" w:rsidP="00E022D2">
      <w:pPr>
        <w:rPr>
          <w:rtl/>
        </w:rPr>
      </w:pPr>
      <w:r w:rsidRPr="00B52F08">
        <w:rPr>
          <w:rFonts w:hint="cs"/>
          <w:rtl/>
        </w:rPr>
        <w:t xml:space="preserve">לצד זאת, תקנה 10 לתקנות </w:t>
      </w:r>
      <w:r w:rsidRPr="00E07569">
        <w:rPr>
          <w:rFonts w:hint="cs"/>
          <w:rtl/>
        </w:rPr>
        <w:t>התאמות</w:t>
      </w:r>
      <w:r w:rsidRPr="00E07569">
        <w:rPr>
          <w:rtl/>
        </w:rPr>
        <w:t xml:space="preserve"> </w:t>
      </w:r>
      <w:r w:rsidRPr="00E07569">
        <w:rPr>
          <w:rFonts w:hint="cs"/>
          <w:rtl/>
        </w:rPr>
        <w:t>נגישות</w:t>
      </w:r>
      <w:r w:rsidRPr="00E07569">
        <w:rPr>
          <w:rtl/>
        </w:rPr>
        <w:t xml:space="preserve"> </w:t>
      </w:r>
      <w:r w:rsidRPr="00E07569">
        <w:rPr>
          <w:rFonts w:hint="cs"/>
          <w:b/>
          <w:bCs/>
          <w:rtl/>
        </w:rPr>
        <w:t>למקום</w:t>
      </w:r>
      <w:r w:rsidRPr="00E07569">
        <w:rPr>
          <w:b/>
          <w:bCs/>
          <w:rtl/>
        </w:rPr>
        <w:t xml:space="preserve"> </w:t>
      </w:r>
      <w:r w:rsidRPr="00E07569">
        <w:rPr>
          <w:rFonts w:hint="cs"/>
          <w:b/>
          <w:bCs/>
          <w:rtl/>
        </w:rPr>
        <w:t>ציבורי</w:t>
      </w:r>
      <w:r w:rsidRPr="00E07569">
        <w:rPr>
          <w:rtl/>
        </w:rPr>
        <w:t xml:space="preserve"> </w:t>
      </w:r>
      <w:r w:rsidRPr="00E07569">
        <w:rPr>
          <w:rFonts w:hint="cs"/>
          <w:rtl/>
        </w:rPr>
        <w:t>שהוא</w:t>
      </w:r>
      <w:r w:rsidRPr="00E07569">
        <w:rPr>
          <w:rtl/>
        </w:rPr>
        <w:t xml:space="preserve"> </w:t>
      </w:r>
      <w:r w:rsidRPr="00E07569">
        <w:rPr>
          <w:rFonts w:hint="cs"/>
          <w:rtl/>
        </w:rPr>
        <w:t>בניין</w:t>
      </w:r>
      <w:r w:rsidRPr="00E07569">
        <w:rPr>
          <w:rtl/>
        </w:rPr>
        <w:t xml:space="preserve"> </w:t>
      </w:r>
      <w:r w:rsidRPr="00E07569">
        <w:rPr>
          <w:rFonts w:hint="cs"/>
          <w:rtl/>
        </w:rPr>
        <w:t xml:space="preserve">קיים </w:t>
      </w:r>
      <w:r w:rsidRPr="00B52F08">
        <w:rPr>
          <w:rFonts w:hint="cs"/>
          <w:rtl/>
        </w:rPr>
        <w:t>קובעת הוראה ספציפית לגבי מי שהוא "</w:t>
      </w:r>
      <w:r w:rsidRPr="00217543">
        <w:rPr>
          <w:rFonts w:hint="cs"/>
          <w:b/>
          <w:bCs/>
          <w:rtl/>
        </w:rPr>
        <w:t>אחראי</w:t>
      </w:r>
      <w:r w:rsidRPr="00217543">
        <w:rPr>
          <w:b/>
          <w:bCs/>
          <w:rtl/>
        </w:rPr>
        <w:t xml:space="preserve"> </w:t>
      </w:r>
      <w:r w:rsidRPr="00217543">
        <w:rPr>
          <w:rFonts w:hint="cs"/>
          <w:b/>
          <w:bCs/>
          <w:rtl/>
        </w:rPr>
        <w:t>למתן</w:t>
      </w:r>
      <w:r w:rsidRPr="00217543">
        <w:rPr>
          <w:b/>
          <w:bCs/>
          <w:rtl/>
        </w:rPr>
        <w:t xml:space="preserve"> </w:t>
      </w:r>
      <w:r w:rsidRPr="00217543">
        <w:rPr>
          <w:rFonts w:hint="cs"/>
          <w:b/>
          <w:bCs/>
          <w:rtl/>
        </w:rPr>
        <w:t>שירות</w:t>
      </w:r>
      <w:r w:rsidRPr="00B52F08">
        <w:rPr>
          <w:rFonts w:hint="cs"/>
          <w:rtl/>
        </w:rPr>
        <w:t xml:space="preserve">" שקיבל פטור מביצוע התאמה. לגבי חייב כזה, כאשר מתן הפטור מונע מאדם עם מוגבלות </w:t>
      </w:r>
      <w:r w:rsidRPr="00217543">
        <w:rPr>
          <w:rFonts w:hint="cs"/>
          <w:b/>
          <w:bCs/>
          <w:rtl/>
        </w:rPr>
        <w:t>נגישות לשירות ציבורי יחד עם שאר הציבור</w:t>
      </w:r>
      <w:r w:rsidRPr="00B52F08">
        <w:rPr>
          <w:rFonts w:hint="cs"/>
          <w:rtl/>
        </w:rPr>
        <w:t xml:space="preserve"> </w:t>
      </w:r>
      <w:r w:rsidRPr="00B52F08">
        <w:rPr>
          <w:rtl/>
        </w:rPr>
        <w:t>–</w:t>
      </w:r>
      <w:r w:rsidRPr="00B52F08">
        <w:rPr>
          <w:rFonts w:hint="cs"/>
          <w:rtl/>
        </w:rPr>
        <w:t xml:space="preserve"> על האחראי </w:t>
      </w:r>
      <w:r w:rsidRPr="00B52F08">
        <w:rPr>
          <w:rFonts w:hint="cs"/>
          <w:b/>
          <w:bCs/>
          <w:u w:val="single"/>
          <w:rtl/>
        </w:rPr>
        <w:t>להעביר את השירות למקום נגיש.</w:t>
      </w:r>
      <w:r w:rsidRPr="00B52F08">
        <w:rPr>
          <w:rFonts w:hint="cs"/>
          <w:rtl/>
        </w:rPr>
        <w:t xml:space="preserve"> </w:t>
      </w:r>
    </w:p>
    <w:p w14:paraId="7A11F8CD" w14:textId="77777777" w:rsidR="00E022D2" w:rsidRDefault="00E022D2" w:rsidP="00E022D2">
      <w:pPr>
        <w:rPr>
          <w:rtl/>
        </w:rPr>
      </w:pPr>
      <w:r>
        <w:rPr>
          <w:rFonts w:hint="cs"/>
          <w:rtl/>
        </w:rPr>
        <w:t xml:space="preserve">המשמעות היא שבמקום שבו "אחראי" נותן שירות לציבור </w:t>
      </w:r>
      <w:r>
        <w:rPr>
          <w:rtl/>
        </w:rPr>
        <w:t>–</w:t>
      </w:r>
      <w:r>
        <w:rPr>
          <w:rFonts w:hint="cs"/>
          <w:rtl/>
        </w:rPr>
        <w:t xml:space="preserve"> צריכה להיות דרך נגישה לכל מקום שבו ניתן שירות לציבור ובאופן מפורש נקבע כי נדרש קיומה של חניה נגישה לרכב גבוה.</w:t>
      </w:r>
    </w:p>
    <w:p w14:paraId="1E82CC12" w14:textId="77777777" w:rsidR="00E022D2" w:rsidRPr="00CA75CC" w:rsidRDefault="00E022D2" w:rsidP="00E022D2">
      <w:pPr>
        <w:rPr>
          <w:u w:val="single"/>
          <w:rtl/>
        </w:rPr>
      </w:pPr>
      <w:r w:rsidRPr="00CA75CC">
        <w:rPr>
          <w:rFonts w:hint="cs"/>
          <w:u w:val="single"/>
          <w:rtl/>
        </w:rPr>
        <w:t xml:space="preserve">אחראי למתן שירות לעניין זה הוא: </w:t>
      </w:r>
    </w:p>
    <w:p w14:paraId="1ADB8683" w14:textId="77777777" w:rsidR="00E022D2" w:rsidRPr="00444000" w:rsidRDefault="00E022D2" w:rsidP="00E022D2">
      <w:pPr>
        <w:pStyle w:val="ListParagraph"/>
        <w:numPr>
          <w:ilvl w:val="0"/>
          <w:numId w:val="47"/>
        </w:numPr>
        <w:spacing w:after="200" w:line="360" w:lineRule="auto"/>
        <w:rPr>
          <w:color w:val="FF0000"/>
          <w:sz w:val="24"/>
        </w:rPr>
      </w:pPr>
      <w:r w:rsidRPr="00444000">
        <w:rPr>
          <w:rFonts w:hint="cs"/>
          <w:sz w:val="24"/>
          <w:rtl/>
        </w:rPr>
        <w:t>רשות ציבורית (מוגדרת בסעיף 19א לחוק השוויון וכוללת בין היתר: משרדי ממשלה ויחידות סמך; משטרה; שב"ס; רשות מקומית; תאגיד סטטוטורי; ההסתדרות הצי</w:t>
      </w:r>
      <w:r>
        <w:rPr>
          <w:rFonts w:hint="cs"/>
          <w:sz w:val="24"/>
          <w:rtl/>
        </w:rPr>
        <w:t xml:space="preserve">ונית העולמית; הסוכנות היהודית; </w:t>
      </w:r>
    </w:p>
    <w:p w14:paraId="72C41D5D" w14:textId="77777777" w:rsidR="00E022D2" w:rsidRPr="00444000" w:rsidRDefault="00E022D2" w:rsidP="00E022D2">
      <w:pPr>
        <w:pStyle w:val="ListParagraph"/>
        <w:numPr>
          <w:ilvl w:val="0"/>
          <w:numId w:val="47"/>
        </w:numPr>
        <w:spacing w:after="200" w:line="360" w:lineRule="auto"/>
        <w:rPr>
          <w:color w:val="FF0000"/>
          <w:sz w:val="24"/>
        </w:rPr>
      </w:pPr>
      <w:r w:rsidRPr="00444000">
        <w:rPr>
          <w:rFonts w:hint="cs"/>
          <w:sz w:val="24"/>
          <w:rtl/>
        </w:rPr>
        <w:t>מוסדות ציבור שהשתתפות המדינה בתקציבם עולה על 30% בממוצע בחמש השנים האחרונות)</w:t>
      </w:r>
    </w:p>
    <w:p w14:paraId="68A76774" w14:textId="77777777" w:rsidR="00E022D2" w:rsidRPr="00444000" w:rsidRDefault="00E022D2" w:rsidP="00E022D2">
      <w:pPr>
        <w:pStyle w:val="ListParagraph"/>
        <w:numPr>
          <w:ilvl w:val="0"/>
          <w:numId w:val="47"/>
        </w:numPr>
        <w:spacing w:after="200" w:line="360" w:lineRule="auto"/>
        <w:rPr>
          <w:color w:val="FF0000"/>
          <w:sz w:val="24"/>
          <w:rtl/>
        </w:rPr>
      </w:pPr>
      <w:r w:rsidRPr="00444000">
        <w:rPr>
          <w:rFonts w:hint="cs"/>
          <w:sz w:val="24"/>
          <w:rtl/>
        </w:rPr>
        <w:t xml:space="preserve"> נותן שירות שהוא חובה המוטלת על הציבור לפי חיקוק, בנק, מיתקן לחלוקת דואר וסוכנות דואר (כאשר לגבי בנייני הדואר יש הקלות מסוימות). </w:t>
      </w:r>
    </w:p>
    <w:p w14:paraId="7938B1EA" w14:textId="77777777" w:rsidR="00E022D2" w:rsidRPr="007E2FF7" w:rsidRDefault="00E022D2" w:rsidP="00E022D2">
      <w:pPr>
        <w:spacing w:after="120"/>
        <w:rPr>
          <w:rFonts w:ascii="DaunPenh" w:hAnsi="DaunPenh"/>
          <w:sz w:val="28"/>
          <w:szCs w:val="28"/>
          <w:u w:val="single"/>
        </w:rPr>
      </w:pPr>
      <w:r w:rsidRPr="007E2FF7">
        <w:rPr>
          <w:rFonts w:ascii="DaunPenh" w:hAnsi="DaunPenh" w:hint="cs"/>
          <w:sz w:val="28"/>
          <w:szCs w:val="28"/>
          <w:u w:val="single"/>
          <w:rtl/>
        </w:rPr>
        <w:t>זיהוי הבעיה וסיבותיה</w:t>
      </w:r>
    </w:p>
    <w:p w14:paraId="0F0E69FA" w14:textId="77777777" w:rsidR="00E022D2" w:rsidRDefault="00E022D2" w:rsidP="00E022D2">
      <w:pPr>
        <w:spacing w:after="120"/>
        <w:rPr>
          <w:rFonts w:ascii="DaunPenh" w:hAnsi="DaunPenh"/>
          <w:rtl/>
        </w:rPr>
      </w:pPr>
      <w:r>
        <w:rPr>
          <w:rFonts w:ascii="DaunPenh" w:hAnsi="DaunPenh" w:hint="cs"/>
          <w:rtl/>
        </w:rPr>
        <w:t>מאז הותקנו התקנות המפרטות את לוחות הזמנים להנגשה, הגיעו לנציבות פניות מגורמים ממשלתיים ומהסקטור העסקי, בדבר הקושי לעמוד בלוחות הזמנים שהוצבו. בפניות נטען כי חלק מהדרישות מטילות נטל כלכלי משמעותי, לעיתים ללא הצדקה מספקת. טענות אלו עלו גם בדיונים שנערכו ב</w:t>
      </w:r>
      <w:r w:rsidRPr="00E01F8E">
        <w:rPr>
          <w:rFonts w:ascii="DaunPenh" w:hAnsi="DaunPenh"/>
          <w:rtl/>
        </w:rPr>
        <w:t>ו</w:t>
      </w:r>
      <w:r>
        <w:rPr>
          <w:rFonts w:ascii="DaunPenh" w:hAnsi="DaunPenh" w:hint="cs"/>
          <w:rtl/>
        </w:rPr>
        <w:t>ו</w:t>
      </w:r>
      <w:r w:rsidRPr="00E01F8E">
        <w:rPr>
          <w:rFonts w:ascii="DaunPenh" w:hAnsi="DaunPenh"/>
          <w:rtl/>
        </w:rPr>
        <w:t>עדת העבודה, הרווחה והבריאות בכנסת</w:t>
      </w:r>
      <w:r>
        <w:rPr>
          <w:rFonts w:ascii="DaunPenh" w:hAnsi="DaunPenh" w:hint="cs"/>
          <w:rtl/>
        </w:rPr>
        <w:t xml:space="preserve">, שבמסגרתם ניתנה לחייבים אשר משתייכים למגזר הציבורי הארכה של שנה. הפונים קראו לנציבות לשקול מחדש את האיזון </w:t>
      </w:r>
      <w:r w:rsidRPr="00E07569">
        <w:rPr>
          <w:rFonts w:ascii="DaunPenh" w:hAnsi="DaunPenh" w:hint="cs"/>
          <w:rtl/>
        </w:rPr>
        <w:t>בין שמירה על זכויותיהם של אנשים עם מוגבלות לבין הנטל הרגולטורי</w:t>
      </w:r>
      <w:r>
        <w:rPr>
          <w:rFonts w:ascii="DaunPenh" w:hAnsi="DaunPenh" w:hint="cs"/>
          <w:rtl/>
        </w:rPr>
        <w:t xml:space="preserve"> שחובת ההנגשה מטילה. </w:t>
      </w:r>
    </w:p>
    <w:p w14:paraId="37045AFC" w14:textId="77777777" w:rsidR="00E022D2" w:rsidRDefault="00E022D2" w:rsidP="00E022D2">
      <w:pPr>
        <w:spacing w:after="120"/>
        <w:rPr>
          <w:rFonts w:ascii="DaunPenh" w:hAnsi="DaunPenh"/>
          <w:rtl/>
        </w:rPr>
      </w:pPr>
      <w:r>
        <w:rPr>
          <w:rFonts w:ascii="DaunPenh" w:hAnsi="DaunPenh" w:hint="cs"/>
          <w:rtl/>
        </w:rPr>
        <w:t xml:space="preserve">יצוין כי בשיח שערכה הנציבות עם הציבור במטרה להבין לעומק את הקשיים, עלה כי במקרים רבים, משיקולים כלכליים, חובת מעבר המקום עלולה להוביל לסגירה של סניפים שאינם נגישים, ולא להעברתם. פרקטיקה זו מובילה לפגיעה משמעותית בציבור כולו, ובפרט בקשישים או באנשים אחרים עם מוגבלות, הנאלצים לצרוך את השירותים בסניפים הממוקמים מרחק רב יותר ממקום מגוריהם. </w:t>
      </w:r>
    </w:p>
    <w:p w14:paraId="3D23541B" w14:textId="77777777" w:rsidR="00E022D2" w:rsidRPr="004F103C" w:rsidRDefault="00E022D2" w:rsidP="00E022D2">
      <w:pPr>
        <w:spacing w:after="120"/>
        <w:rPr>
          <w:rFonts w:ascii="DaunPenh" w:hAnsi="DaunPenh"/>
          <w:b/>
          <w:bCs/>
          <w:u w:val="single"/>
          <w:rtl/>
        </w:rPr>
      </w:pPr>
      <w:r w:rsidRPr="004F103C">
        <w:rPr>
          <w:rFonts w:ascii="DaunPenh" w:hAnsi="DaunPenh" w:hint="cs"/>
          <w:b/>
          <w:bCs/>
          <w:u w:val="single"/>
          <w:rtl/>
        </w:rPr>
        <w:lastRenderedPageBreak/>
        <w:t xml:space="preserve">להלן הגופים המרכזיים החייבים בהנגשה והקשיים שהעלו:  </w:t>
      </w:r>
    </w:p>
    <w:p w14:paraId="0F5E727E" w14:textId="77777777" w:rsidR="00E022D2" w:rsidRDefault="00E022D2" w:rsidP="00E022D2">
      <w:pPr>
        <w:spacing w:after="120"/>
        <w:rPr>
          <w:rFonts w:ascii="DaunPenh" w:hAnsi="DaunPenh"/>
          <w:rtl/>
        </w:rPr>
      </w:pPr>
      <w:r w:rsidRPr="00E01F8E">
        <w:rPr>
          <w:rFonts w:ascii="DaunPenh" w:hAnsi="DaunPenh" w:hint="cs"/>
          <w:b/>
          <w:bCs/>
          <w:rtl/>
        </w:rPr>
        <w:t xml:space="preserve">בנקים: </w:t>
      </w:r>
      <w:r>
        <w:rPr>
          <w:rFonts w:ascii="DaunPenh" w:hAnsi="DaunPenh" w:hint="cs"/>
          <w:rtl/>
        </w:rPr>
        <w:t xml:space="preserve">לדברי איגוד הבנקים, נכון להיום הושלמה </w:t>
      </w:r>
      <w:proofErr w:type="spellStart"/>
      <w:r>
        <w:rPr>
          <w:rFonts w:ascii="DaunPenh" w:hAnsi="DaunPenh" w:hint="cs"/>
          <w:rtl/>
        </w:rPr>
        <w:t>הנגשתם</w:t>
      </w:r>
      <w:proofErr w:type="spellEnd"/>
      <w:r>
        <w:rPr>
          <w:rFonts w:ascii="DaunPenh" w:hAnsi="DaunPenh" w:hint="cs"/>
          <w:rtl/>
        </w:rPr>
        <w:t xml:space="preserve"> של רובם הגדול של סניפי הבנקים. הערכת האיגוד היא כי 2.5% מסניפי הבנקים טרם הונגשו. בישיבה שהתקיימה עם נציגי הבנקים נמסרו המספרים הבאים: בנק </w:t>
      </w:r>
      <w:proofErr w:type="spellStart"/>
      <w:r w:rsidRPr="004F2C51">
        <w:rPr>
          <w:rFonts w:ascii="DaunPenh" w:hAnsi="DaunPenh" w:hint="cs"/>
          <w:rtl/>
        </w:rPr>
        <w:t>מרכנתיל</w:t>
      </w:r>
      <w:proofErr w:type="spellEnd"/>
      <w:r>
        <w:rPr>
          <w:rFonts w:ascii="DaunPenh" w:hAnsi="DaunPenh" w:hint="cs"/>
          <w:rtl/>
        </w:rPr>
        <w:t xml:space="preserve"> </w:t>
      </w:r>
      <w:r>
        <w:rPr>
          <w:rFonts w:ascii="DaunPenh" w:hAnsi="DaunPenh"/>
          <w:rtl/>
        </w:rPr>
        <w:t>–</w:t>
      </w:r>
      <w:r>
        <w:rPr>
          <w:rFonts w:ascii="DaunPenh" w:hAnsi="DaunPenh" w:hint="cs"/>
          <w:rtl/>
        </w:rPr>
        <w:t xml:space="preserve"> </w:t>
      </w:r>
      <w:r w:rsidRPr="004F2C51">
        <w:rPr>
          <w:rFonts w:ascii="DaunPenh" w:hAnsi="DaunPenh" w:hint="cs"/>
          <w:rtl/>
        </w:rPr>
        <w:t>דיסקונט</w:t>
      </w:r>
      <w:r>
        <w:rPr>
          <w:rFonts w:ascii="DaunPenh" w:hAnsi="DaunPenh" w:hint="cs"/>
          <w:rtl/>
        </w:rPr>
        <w:t xml:space="preserve">: </w:t>
      </w:r>
      <w:r w:rsidRPr="004F2C51">
        <w:rPr>
          <w:rFonts w:ascii="DaunPenh" w:hAnsi="DaunPenh" w:hint="cs"/>
          <w:rtl/>
        </w:rPr>
        <w:t xml:space="preserve">27 סניפים </w:t>
      </w:r>
      <w:r>
        <w:rPr>
          <w:rFonts w:ascii="DaunPenh" w:hAnsi="DaunPenh" w:hint="cs"/>
          <w:rtl/>
        </w:rPr>
        <w:t>לא נגישים בגלל העדר חניה; בנק ה</w:t>
      </w:r>
      <w:r w:rsidRPr="004F2C51">
        <w:rPr>
          <w:rFonts w:ascii="DaunPenh" w:hAnsi="DaunPenh" w:hint="cs"/>
          <w:rtl/>
        </w:rPr>
        <w:t>פועלים</w:t>
      </w:r>
      <w:r>
        <w:rPr>
          <w:rFonts w:ascii="DaunPenh" w:hAnsi="DaunPenh" w:hint="cs"/>
          <w:rtl/>
        </w:rPr>
        <w:t xml:space="preserve">: </w:t>
      </w:r>
      <w:r w:rsidRPr="004F2C51">
        <w:rPr>
          <w:rFonts w:ascii="DaunPenh" w:hAnsi="DaunPenh" w:hint="cs"/>
          <w:rtl/>
        </w:rPr>
        <w:t xml:space="preserve"> 18 סניפים לא נגישים</w:t>
      </w:r>
      <w:r>
        <w:rPr>
          <w:rFonts w:ascii="DaunPenh" w:hAnsi="DaunPenh" w:hint="cs"/>
          <w:rtl/>
        </w:rPr>
        <w:t xml:space="preserve"> לא בגלל חוסר בחניה; בנק </w:t>
      </w:r>
      <w:r w:rsidRPr="004F2C51">
        <w:rPr>
          <w:rFonts w:ascii="DaunPenh" w:hAnsi="DaunPenh" w:hint="cs"/>
          <w:rtl/>
        </w:rPr>
        <w:t>לאומי</w:t>
      </w:r>
      <w:r>
        <w:rPr>
          <w:rFonts w:ascii="DaunPenh" w:hAnsi="DaunPenh" w:hint="cs"/>
          <w:rtl/>
        </w:rPr>
        <w:t xml:space="preserve">: </w:t>
      </w:r>
      <w:r w:rsidRPr="004F2C51">
        <w:rPr>
          <w:rFonts w:ascii="DaunPenh" w:hAnsi="DaunPenh" w:hint="cs"/>
          <w:rtl/>
        </w:rPr>
        <w:t>10 סניפים לא נגישים בגלל ה</w:t>
      </w:r>
      <w:r>
        <w:rPr>
          <w:rFonts w:ascii="DaunPenh" w:hAnsi="DaunPenh" w:hint="cs"/>
          <w:rtl/>
        </w:rPr>
        <w:t xml:space="preserve">עדר </w:t>
      </w:r>
      <w:r w:rsidRPr="004F2C51">
        <w:rPr>
          <w:rFonts w:ascii="DaunPenh" w:hAnsi="DaunPenh" w:hint="cs"/>
          <w:rtl/>
        </w:rPr>
        <w:t>חניה.</w:t>
      </w:r>
      <w:r>
        <w:rPr>
          <w:rFonts w:ascii="DaunPenh" w:hAnsi="DaunPenh" w:hint="cs"/>
          <w:rtl/>
        </w:rPr>
        <w:t xml:space="preserve"> מנתונים שמסר האיגוד לנציבות עולה כי עלות מעבר מקום מוערכת בכ-7000 ש"ח למטר ואף יותר. </w:t>
      </w:r>
    </w:p>
    <w:p w14:paraId="355B07B8" w14:textId="77777777" w:rsidR="00E022D2" w:rsidRDefault="00E022D2" w:rsidP="00E022D2">
      <w:pPr>
        <w:spacing w:after="120"/>
        <w:rPr>
          <w:rFonts w:ascii="DaunPenh" w:hAnsi="DaunPenh"/>
          <w:rtl/>
        </w:rPr>
      </w:pPr>
      <w:r>
        <w:rPr>
          <w:rFonts w:ascii="DaunPenh" w:hAnsi="DaunPenh" w:hint="cs"/>
          <w:b/>
          <w:bCs/>
          <w:rtl/>
        </w:rPr>
        <w:t>דואר ישראל:</w:t>
      </w:r>
      <w:r w:rsidRPr="007262CE">
        <w:rPr>
          <w:rFonts w:ascii="DaunPenh" w:hAnsi="DaunPenh" w:hint="cs"/>
          <w:b/>
          <w:bCs/>
          <w:rtl/>
        </w:rPr>
        <w:t xml:space="preserve"> </w:t>
      </w:r>
      <w:r>
        <w:rPr>
          <w:rFonts w:ascii="DaunPenh" w:hAnsi="DaunPenh" w:hint="cs"/>
          <w:rtl/>
        </w:rPr>
        <w:t xml:space="preserve">לדואר ישראל כ-3650 נכסים ברחבי הארץ. מתוכם, כ-1,100 הם סניפים בהם ניתן </w:t>
      </w:r>
      <w:r w:rsidRPr="00E103FC">
        <w:rPr>
          <w:rFonts w:ascii="DaunPenh" w:hAnsi="DaunPenh" w:hint="cs"/>
          <w:rtl/>
        </w:rPr>
        <w:t>שירות</w:t>
      </w:r>
      <w:r w:rsidRPr="00E103FC">
        <w:rPr>
          <w:rFonts w:ascii="DaunPenh" w:hAnsi="DaunPenh"/>
          <w:rtl/>
        </w:rPr>
        <w:t xml:space="preserve"> </w:t>
      </w:r>
      <w:r w:rsidRPr="00E103FC">
        <w:rPr>
          <w:rFonts w:ascii="DaunPenh" w:hAnsi="DaunPenh" w:hint="cs"/>
          <w:rtl/>
        </w:rPr>
        <w:t>פרונטלי</w:t>
      </w:r>
      <w:r w:rsidRPr="00E103FC">
        <w:rPr>
          <w:rFonts w:ascii="DaunPenh" w:hAnsi="DaunPenh"/>
          <w:rtl/>
        </w:rPr>
        <w:t xml:space="preserve">, </w:t>
      </w:r>
      <w:r w:rsidRPr="00E103FC">
        <w:rPr>
          <w:rFonts w:ascii="DaunPenh" w:hAnsi="DaunPenh" w:hint="cs"/>
          <w:rtl/>
        </w:rPr>
        <w:t>וכ</w:t>
      </w:r>
      <w:r w:rsidRPr="00E103FC">
        <w:rPr>
          <w:rFonts w:ascii="DaunPenh" w:hAnsi="DaunPenh"/>
          <w:rtl/>
        </w:rPr>
        <w:t xml:space="preserve">-2,550 </w:t>
      </w:r>
      <w:r w:rsidRPr="00E103FC">
        <w:rPr>
          <w:rFonts w:ascii="DaunPenh" w:hAnsi="DaunPenh" w:hint="cs"/>
          <w:rtl/>
        </w:rPr>
        <w:t>משמשים</w:t>
      </w:r>
      <w:r w:rsidRPr="00E103FC">
        <w:rPr>
          <w:rFonts w:ascii="DaunPenh" w:hAnsi="DaunPenh"/>
          <w:rtl/>
        </w:rPr>
        <w:t xml:space="preserve"> </w:t>
      </w:r>
      <w:r w:rsidRPr="00E103FC">
        <w:rPr>
          <w:rFonts w:ascii="DaunPenh" w:hAnsi="DaunPenh" w:hint="cs"/>
          <w:rtl/>
        </w:rPr>
        <w:t>כמוקדי</w:t>
      </w:r>
      <w:r w:rsidRPr="00E103FC">
        <w:rPr>
          <w:rFonts w:ascii="DaunPenh" w:hAnsi="DaunPenh"/>
          <w:rtl/>
        </w:rPr>
        <w:t xml:space="preserve"> </w:t>
      </w:r>
      <w:r w:rsidRPr="00E103FC">
        <w:rPr>
          <w:rFonts w:ascii="DaunPenh" w:hAnsi="DaunPenh" w:hint="cs"/>
          <w:rtl/>
        </w:rPr>
        <w:t>חלוקת</w:t>
      </w:r>
      <w:r w:rsidRPr="00E103FC">
        <w:rPr>
          <w:rFonts w:ascii="DaunPenh" w:hAnsi="DaunPenh"/>
          <w:rtl/>
        </w:rPr>
        <w:t xml:space="preserve"> </w:t>
      </w:r>
      <w:r w:rsidRPr="00E103FC">
        <w:rPr>
          <w:rFonts w:ascii="DaunPenh" w:hAnsi="DaunPenh" w:hint="cs"/>
          <w:rtl/>
        </w:rPr>
        <w:t>דואר</w:t>
      </w:r>
      <w:r w:rsidRPr="00E103FC">
        <w:rPr>
          <w:rFonts w:ascii="DaunPenh" w:hAnsi="DaunPenh"/>
          <w:rtl/>
        </w:rPr>
        <w:t xml:space="preserve">. </w:t>
      </w:r>
      <w:r w:rsidRPr="00E103FC">
        <w:rPr>
          <w:rFonts w:ascii="DaunPenh" w:hAnsi="DaunPenh" w:hint="cs"/>
          <w:rtl/>
        </w:rPr>
        <w:t>לדברי</w:t>
      </w:r>
      <w:r w:rsidRPr="00E103FC">
        <w:rPr>
          <w:rFonts w:ascii="DaunPenh" w:hAnsi="DaunPenh"/>
          <w:rtl/>
        </w:rPr>
        <w:t xml:space="preserve"> </w:t>
      </w:r>
      <w:r w:rsidRPr="00E103FC">
        <w:rPr>
          <w:rFonts w:ascii="DaunPenh" w:hAnsi="DaunPenh" w:hint="cs"/>
          <w:rtl/>
        </w:rPr>
        <w:t>דואר</w:t>
      </w:r>
      <w:r w:rsidRPr="00E103FC">
        <w:rPr>
          <w:rFonts w:ascii="DaunPenh" w:hAnsi="DaunPenh"/>
          <w:rtl/>
        </w:rPr>
        <w:t xml:space="preserve"> </w:t>
      </w:r>
      <w:r w:rsidRPr="00E103FC">
        <w:rPr>
          <w:rFonts w:ascii="DaunPenh" w:hAnsi="DaunPenh" w:hint="cs"/>
          <w:rtl/>
        </w:rPr>
        <w:t>ישראל</w:t>
      </w:r>
      <w:r w:rsidRPr="00E103FC">
        <w:rPr>
          <w:rFonts w:ascii="DaunPenh" w:hAnsi="DaunPenh"/>
          <w:rtl/>
        </w:rPr>
        <w:t xml:space="preserve">, </w:t>
      </w:r>
      <w:r w:rsidRPr="00E103FC">
        <w:rPr>
          <w:rFonts w:ascii="DaunPenh" w:hAnsi="DaunPenh" w:hint="cs"/>
          <w:rtl/>
        </w:rPr>
        <w:t>הדרישה</w:t>
      </w:r>
      <w:r w:rsidRPr="00E103FC">
        <w:rPr>
          <w:rFonts w:ascii="DaunPenh" w:hAnsi="DaunPenh"/>
          <w:rtl/>
        </w:rPr>
        <w:t xml:space="preserve"> </w:t>
      </w:r>
      <w:r w:rsidRPr="00E103FC">
        <w:rPr>
          <w:rFonts w:ascii="DaunPenh" w:hAnsi="DaunPenh" w:hint="cs"/>
          <w:rtl/>
        </w:rPr>
        <w:t>שיישומה</w:t>
      </w:r>
      <w:r w:rsidRPr="00E103FC">
        <w:rPr>
          <w:rFonts w:ascii="DaunPenh" w:hAnsi="DaunPenh"/>
          <w:rtl/>
        </w:rPr>
        <w:t xml:space="preserve"> </w:t>
      </w:r>
      <w:r w:rsidRPr="00E103FC">
        <w:rPr>
          <w:rFonts w:ascii="DaunPenh" w:hAnsi="DaunPenh" w:hint="cs"/>
          <w:rtl/>
        </w:rPr>
        <w:t>הוא</w:t>
      </w:r>
      <w:r w:rsidRPr="00E103FC">
        <w:rPr>
          <w:rFonts w:ascii="DaunPenh" w:hAnsi="DaunPenh"/>
          <w:rtl/>
        </w:rPr>
        <w:t xml:space="preserve"> </w:t>
      </w:r>
      <w:r w:rsidRPr="00E103FC">
        <w:rPr>
          <w:rFonts w:ascii="DaunPenh" w:hAnsi="DaunPenh" w:hint="cs"/>
          <w:rtl/>
        </w:rPr>
        <w:t>שמטיל</w:t>
      </w:r>
      <w:r w:rsidRPr="00E103FC">
        <w:rPr>
          <w:rFonts w:ascii="DaunPenh" w:hAnsi="DaunPenh"/>
          <w:rtl/>
        </w:rPr>
        <w:t xml:space="preserve"> </w:t>
      </w:r>
      <w:r w:rsidRPr="00E103FC">
        <w:rPr>
          <w:rFonts w:ascii="DaunPenh" w:hAnsi="DaunPenh" w:hint="cs"/>
          <w:rtl/>
        </w:rPr>
        <w:t>את</w:t>
      </w:r>
      <w:r w:rsidRPr="00E103FC">
        <w:rPr>
          <w:rFonts w:ascii="DaunPenh" w:hAnsi="DaunPenh"/>
          <w:rtl/>
        </w:rPr>
        <w:t xml:space="preserve"> </w:t>
      </w:r>
      <w:r w:rsidRPr="00E103FC">
        <w:rPr>
          <w:rFonts w:ascii="DaunPenh" w:hAnsi="DaunPenh" w:hint="cs"/>
          <w:rtl/>
        </w:rPr>
        <w:t>הנטל</w:t>
      </w:r>
      <w:r w:rsidRPr="00E103FC">
        <w:rPr>
          <w:rFonts w:ascii="DaunPenh" w:hAnsi="DaunPenh"/>
          <w:rtl/>
        </w:rPr>
        <w:t xml:space="preserve"> </w:t>
      </w:r>
      <w:r w:rsidRPr="00E103FC">
        <w:rPr>
          <w:rFonts w:ascii="DaunPenh" w:hAnsi="DaunPenh" w:hint="cs"/>
          <w:rtl/>
        </w:rPr>
        <w:t>הכבד</w:t>
      </w:r>
      <w:r w:rsidRPr="00E103FC">
        <w:rPr>
          <w:rFonts w:ascii="DaunPenh" w:hAnsi="DaunPenh"/>
          <w:rtl/>
        </w:rPr>
        <w:t xml:space="preserve"> </w:t>
      </w:r>
      <w:r w:rsidRPr="00E103FC">
        <w:rPr>
          <w:rFonts w:ascii="DaunPenh" w:hAnsi="DaunPenh" w:hint="cs"/>
          <w:rtl/>
        </w:rPr>
        <w:t>ביותר</w:t>
      </w:r>
      <w:r w:rsidRPr="00E103FC">
        <w:rPr>
          <w:rFonts w:ascii="DaunPenh" w:hAnsi="DaunPenh"/>
          <w:rtl/>
        </w:rPr>
        <w:t xml:space="preserve"> </w:t>
      </w:r>
      <w:r w:rsidRPr="00E103FC">
        <w:rPr>
          <w:rFonts w:ascii="DaunPenh" w:hAnsi="DaunPenh" w:hint="cs"/>
          <w:rtl/>
        </w:rPr>
        <w:t>היא</w:t>
      </w:r>
      <w:r w:rsidRPr="00E103FC">
        <w:rPr>
          <w:rFonts w:ascii="DaunPenh" w:hAnsi="DaunPenh"/>
          <w:rtl/>
        </w:rPr>
        <w:t xml:space="preserve"> </w:t>
      </w:r>
      <w:r w:rsidRPr="00E103FC">
        <w:rPr>
          <w:rFonts w:ascii="DaunPenh" w:hAnsi="DaunPenh" w:hint="cs"/>
          <w:rtl/>
        </w:rPr>
        <w:t>הדרישה</w:t>
      </w:r>
      <w:r w:rsidRPr="00E103FC">
        <w:rPr>
          <w:rFonts w:ascii="DaunPenh" w:hAnsi="DaunPenh"/>
          <w:rtl/>
        </w:rPr>
        <w:t xml:space="preserve"> </w:t>
      </w:r>
      <w:r w:rsidRPr="00E103FC">
        <w:rPr>
          <w:rFonts w:ascii="DaunPenh" w:hAnsi="DaunPenh" w:hint="cs"/>
          <w:rtl/>
        </w:rPr>
        <w:t>לחניה</w:t>
      </w:r>
      <w:r w:rsidRPr="00E103FC">
        <w:rPr>
          <w:rFonts w:ascii="DaunPenh" w:hAnsi="DaunPenh"/>
          <w:rtl/>
        </w:rPr>
        <w:t xml:space="preserve"> </w:t>
      </w:r>
      <w:r w:rsidRPr="00E103FC">
        <w:rPr>
          <w:rFonts w:ascii="DaunPenh" w:hAnsi="DaunPenh" w:hint="cs"/>
          <w:rtl/>
        </w:rPr>
        <w:t>נגישה</w:t>
      </w:r>
      <w:r w:rsidRPr="00E103FC">
        <w:rPr>
          <w:rFonts w:ascii="DaunPenh" w:hAnsi="DaunPenh"/>
          <w:rtl/>
        </w:rPr>
        <w:t xml:space="preserve">. </w:t>
      </w:r>
      <w:r w:rsidRPr="00E103FC">
        <w:rPr>
          <w:rFonts w:ascii="DaunPenh" w:hAnsi="DaunPenh" w:hint="cs"/>
          <w:rtl/>
        </w:rPr>
        <w:t>הקושי</w:t>
      </w:r>
      <w:r w:rsidRPr="00E103FC">
        <w:rPr>
          <w:rFonts w:ascii="DaunPenh" w:hAnsi="DaunPenh"/>
          <w:rtl/>
        </w:rPr>
        <w:t xml:space="preserve"> </w:t>
      </w:r>
      <w:r w:rsidRPr="00E103FC">
        <w:rPr>
          <w:rFonts w:ascii="DaunPenh" w:hAnsi="DaunPenh" w:hint="cs"/>
          <w:rtl/>
        </w:rPr>
        <w:t>ביישום</w:t>
      </w:r>
      <w:r w:rsidRPr="00E103FC">
        <w:rPr>
          <w:rFonts w:ascii="DaunPenh" w:hAnsi="DaunPenh"/>
          <w:rtl/>
        </w:rPr>
        <w:t xml:space="preserve"> </w:t>
      </w:r>
      <w:r w:rsidRPr="00E103FC">
        <w:rPr>
          <w:rFonts w:ascii="DaunPenh" w:hAnsi="DaunPenh" w:hint="cs"/>
          <w:rtl/>
        </w:rPr>
        <w:t>דרישה</w:t>
      </w:r>
      <w:r w:rsidRPr="00E103FC">
        <w:rPr>
          <w:rFonts w:ascii="DaunPenh" w:hAnsi="DaunPenh"/>
          <w:rtl/>
        </w:rPr>
        <w:t xml:space="preserve"> </w:t>
      </w:r>
      <w:r w:rsidRPr="00E103FC">
        <w:rPr>
          <w:rFonts w:ascii="DaunPenh" w:hAnsi="DaunPenh" w:hint="cs"/>
          <w:rtl/>
        </w:rPr>
        <w:t>זו</w:t>
      </w:r>
      <w:r w:rsidRPr="00E103FC">
        <w:rPr>
          <w:rFonts w:ascii="DaunPenh" w:hAnsi="DaunPenh"/>
          <w:rtl/>
        </w:rPr>
        <w:t xml:space="preserve">, </w:t>
      </w:r>
      <w:r w:rsidRPr="00E103FC">
        <w:rPr>
          <w:rFonts w:ascii="DaunPenh" w:hAnsi="DaunPenh" w:hint="cs"/>
          <w:rtl/>
        </w:rPr>
        <w:t>נובע</w:t>
      </w:r>
      <w:r w:rsidRPr="00E103FC">
        <w:rPr>
          <w:rFonts w:ascii="DaunPenh" w:hAnsi="DaunPenh"/>
          <w:rtl/>
        </w:rPr>
        <w:t xml:space="preserve"> </w:t>
      </w:r>
      <w:r w:rsidRPr="00E103FC">
        <w:rPr>
          <w:rFonts w:ascii="DaunPenh" w:hAnsi="DaunPenh" w:hint="cs"/>
          <w:rtl/>
        </w:rPr>
        <w:t>בין</w:t>
      </w:r>
      <w:r w:rsidRPr="00E103FC">
        <w:rPr>
          <w:rFonts w:ascii="DaunPenh" w:hAnsi="DaunPenh"/>
          <w:rtl/>
        </w:rPr>
        <w:t xml:space="preserve"> </w:t>
      </w:r>
      <w:r w:rsidRPr="00E103FC">
        <w:rPr>
          <w:rFonts w:ascii="DaunPenh" w:hAnsi="DaunPenh" w:hint="cs"/>
          <w:rtl/>
        </w:rPr>
        <w:t>היתר</w:t>
      </w:r>
      <w:r w:rsidRPr="00E103FC">
        <w:rPr>
          <w:rFonts w:ascii="DaunPenh" w:hAnsi="DaunPenh"/>
          <w:rtl/>
        </w:rPr>
        <w:t xml:space="preserve"> </w:t>
      </w:r>
      <w:r w:rsidRPr="00E103FC">
        <w:rPr>
          <w:rFonts w:ascii="DaunPenh" w:hAnsi="DaunPenh" w:hint="cs"/>
          <w:rtl/>
        </w:rPr>
        <w:t>מכך</w:t>
      </w:r>
      <w:r w:rsidRPr="00E103FC">
        <w:rPr>
          <w:rFonts w:ascii="DaunPenh" w:hAnsi="DaunPenh"/>
          <w:rtl/>
        </w:rPr>
        <w:t xml:space="preserve"> </w:t>
      </w:r>
      <w:r w:rsidRPr="00E103FC">
        <w:rPr>
          <w:rFonts w:ascii="DaunPenh" w:hAnsi="DaunPenh" w:hint="cs"/>
          <w:rtl/>
        </w:rPr>
        <w:t>שלעיתים</w:t>
      </w:r>
      <w:r w:rsidRPr="00E103FC">
        <w:rPr>
          <w:rFonts w:ascii="DaunPenh" w:hAnsi="DaunPenh"/>
          <w:rtl/>
        </w:rPr>
        <w:t xml:space="preserve"> </w:t>
      </w:r>
      <w:r w:rsidRPr="00E103FC">
        <w:rPr>
          <w:rFonts w:ascii="DaunPenh" w:hAnsi="DaunPenh" w:hint="cs"/>
          <w:rtl/>
        </w:rPr>
        <w:t>כדי</w:t>
      </w:r>
      <w:r w:rsidRPr="00E103FC">
        <w:rPr>
          <w:rFonts w:ascii="DaunPenh" w:hAnsi="DaunPenh"/>
          <w:rtl/>
        </w:rPr>
        <w:t xml:space="preserve"> </w:t>
      </w:r>
      <w:r w:rsidRPr="00E103FC">
        <w:rPr>
          <w:rFonts w:ascii="DaunPenh" w:hAnsi="DaunPenh" w:hint="cs"/>
          <w:rtl/>
        </w:rPr>
        <w:t>להשלים</w:t>
      </w:r>
      <w:r w:rsidRPr="00E103FC">
        <w:rPr>
          <w:rFonts w:ascii="DaunPenh" w:hAnsi="DaunPenh"/>
          <w:rtl/>
        </w:rPr>
        <w:t xml:space="preserve"> </w:t>
      </w:r>
      <w:r w:rsidRPr="00E103FC">
        <w:rPr>
          <w:rFonts w:ascii="DaunPenh" w:hAnsi="DaunPenh" w:hint="cs"/>
          <w:rtl/>
        </w:rPr>
        <w:t>את</w:t>
      </w:r>
      <w:r w:rsidRPr="00E103FC">
        <w:rPr>
          <w:rFonts w:ascii="DaunPenh" w:hAnsi="DaunPenh"/>
          <w:rtl/>
        </w:rPr>
        <w:t xml:space="preserve"> </w:t>
      </w:r>
      <w:r w:rsidRPr="00E103FC">
        <w:rPr>
          <w:rFonts w:ascii="DaunPenh" w:hAnsi="DaunPenh" w:hint="cs"/>
          <w:rtl/>
        </w:rPr>
        <w:t>ההנגשה</w:t>
      </w:r>
      <w:r w:rsidRPr="00E103FC">
        <w:rPr>
          <w:rFonts w:ascii="DaunPenh" w:hAnsi="DaunPenh"/>
          <w:rtl/>
        </w:rPr>
        <w:t xml:space="preserve"> </w:t>
      </w:r>
      <w:r w:rsidRPr="00E103FC">
        <w:rPr>
          <w:rFonts w:ascii="DaunPenh" w:hAnsi="DaunPenh" w:hint="cs"/>
          <w:rtl/>
        </w:rPr>
        <w:t>יש</w:t>
      </w:r>
      <w:r w:rsidRPr="00E103FC">
        <w:rPr>
          <w:rFonts w:ascii="DaunPenh" w:hAnsi="DaunPenh"/>
          <w:rtl/>
        </w:rPr>
        <w:t xml:space="preserve"> </w:t>
      </w:r>
      <w:r w:rsidRPr="00E103FC">
        <w:rPr>
          <w:rFonts w:ascii="DaunPenh" w:hAnsi="DaunPenh" w:hint="cs"/>
          <w:rtl/>
        </w:rPr>
        <w:t>צורך</w:t>
      </w:r>
      <w:r w:rsidRPr="00E103FC">
        <w:rPr>
          <w:rFonts w:ascii="DaunPenh" w:hAnsi="DaunPenh"/>
          <w:rtl/>
        </w:rPr>
        <w:t xml:space="preserve"> </w:t>
      </w:r>
      <w:r w:rsidRPr="00E103FC">
        <w:rPr>
          <w:rFonts w:ascii="DaunPenh" w:hAnsi="DaunPenh" w:hint="cs"/>
          <w:rtl/>
        </w:rPr>
        <w:t>במעורבותם</w:t>
      </w:r>
      <w:r w:rsidRPr="00E103FC">
        <w:rPr>
          <w:rFonts w:ascii="DaunPenh" w:hAnsi="DaunPenh"/>
          <w:rtl/>
        </w:rPr>
        <w:t xml:space="preserve"> </w:t>
      </w:r>
      <w:r w:rsidRPr="00E103FC">
        <w:rPr>
          <w:rFonts w:ascii="DaunPenh" w:hAnsi="DaunPenh" w:hint="cs"/>
          <w:rtl/>
        </w:rPr>
        <w:t>של</w:t>
      </w:r>
      <w:r w:rsidRPr="00E103FC">
        <w:rPr>
          <w:rFonts w:ascii="DaunPenh" w:hAnsi="DaunPenh"/>
          <w:rtl/>
        </w:rPr>
        <w:t xml:space="preserve"> </w:t>
      </w:r>
      <w:r w:rsidRPr="00E103FC">
        <w:rPr>
          <w:rFonts w:ascii="DaunPenh" w:hAnsi="DaunPenh" w:hint="cs"/>
          <w:rtl/>
        </w:rPr>
        <w:t>גורמים</w:t>
      </w:r>
      <w:r w:rsidRPr="00E103FC">
        <w:rPr>
          <w:rFonts w:ascii="DaunPenh" w:hAnsi="DaunPenh"/>
          <w:rtl/>
        </w:rPr>
        <w:t xml:space="preserve"> </w:t>
      </w:r>
      <w:r w:rsidRPr="00E103FC">
        <w:rPr>
          <w:rFonts w:ascii="DaunPenh" w:hAnsi="DaunPenh" w:hint="cs"/>
          <w:rtl/>
        </w:rPr>
        <w:t>שונים</w:t>
      </w:r>
      <w:r w:rsidRPr="00E103FC">
        <w:rPr>
          <w:rFonts w:ascii="DaunPenh" w:hAnsi="DaunPenh"/>
          <w:rtl/>
        </w:rPr>
        <w:t xml:space="preserve">. </w:t>
      </w:r>
      <w:r w:rsidRPr="00E103FC">
        <w:rPr>
          <w:rFonts w:ascii="DaunPenh" w:hAnsi="DaunPenh" w:hint="cs"/>
          <w:rtl/>
        </w:rPr>
        <w:t>כך</w:t>
      </w:r>
      <w:r w:rsidRPr="00E103FC">
        <w:rPr>
          <w:rFonts w:ascii="DaunPenh" w:hAnsi="DaunPenh"/>
          <w:rtl/>
        </w:rPr>
        <w:t xml:space="preserve">, </w:t>
      </w:r>
      <w:r w:rsidRPr="00E103FC">
        <w:rPr>
          <w:rFonts w:ascii="DaunPenh" w:hAnsi="DaunPenh" w:hint="cs"/>
          <w:rtl/>
        </w:rPr>
        <w:t>למשל</w:t>
      </w:r>
      <w:r w:rsidRPr="00E103FC">
        <w:rPr>
          <w:rFonts w:ascii="DaunPenh" w:hAnsi="DaunPenh"/>
          <w:rtl/>
        </w:rPr>
        <w:t xml:space="preserve">, </w:t>
      </w:r>
      <w:r w:rsidRPr="00E103FC">
        <w:rPr>
          <w:rFonts w:ascii="DaunPenh" w:hAnsi="DaunPenh" w:hint="cs"/>
          <w:rtl/>
        </w:rPr>
        <w:t>במקרים</w:t>
      </w:r>
      <w:r w:rsidRPr="00E103FC">
        <w:rPr>
          <w:rFonts w:ascii="DaunPenh" w:hAnsi="DaunPenh"/>
          <w:rtl/>
        </w:rPr>
        <w:t xml:space="preserve"> </w:t>
      </w:r>
      <w:r w:rsidRPr="00E103FC">
        <w:rPr>
          <w:rFonts w:ascii="DaunPenh" w:hAnsi="DaunPenh" w:hint="cs"/>
          <w:rtl/>
        </w:rPr>
        <w:t>מסוימים</w:t>
      </w:r>
      <w:r w:rsidRPr="00E103FC">
        <w:rPr>
          <w:rFonts w:ascii="DaunPenh" w:hAnsi="DaunPenh"/>
          <w:rtl/>
        </w:rPr>
        <w:t xml:space="preserve"> </w:t>
      </w:r>
      <w:r w:rsidRPr="00E103FC">
        <w:rPr>
          <w:rFonts w:ascii="DaunPenh" w:hAnsi="DaunPenh" w:hint="cs"/>
          <w:rtl/>
        </w:rPr>
        <w:t>ובהיעדר</w:t>
      </w:r>
      <w:r w:rsidRPr="00E103FC">
        <w:rPr>
          <w:rFonts w:ascii="DaunPenh" w:hAnsi="DaunPenh"/>
          <w:rtl/>
        </w:rPr>
        <w:t xml:space="preserve"> </w:t>
      </w:r>
      <w:r w:rsidRPr="00E103FC">
        <w:rPr>
          <w:rFonts w:ascii="DaunPenh" w:hAnsi="DaunPenh" w:hint="cs"/>
          <w:rtl/>
        </w:rPr>
        <w:t>פתרון</w:t>
      </w:r>
      <w:r w:rsidRPr="00E103FC">
        <w:rPr>
          <w:rFonts w:ascii="DaunPenh" w:hAnsi="DaunPenh"/>
          <w:rtl/>
        </w:rPr>
        <w:t xml:space="preserve"> </w:t>
      </w:r>
      <w:r w:rsidRPr="00E103FC">
        <w:rPr>
          <w:rFonts w:ascii="DaunPenh" w:hAnsi="DaunPenh" w:hint="cs"/>
          <w:rtl/>
        </w:rPr>
        <w:t>אחר</w:t>
      </w:r>
      <w:r w:rsidRPr="00E103FC">
        <w:rPr>
          <w:rFonts w:ascii="DaunPenh" w:hAnsi="DaunPenh"/>
          <w:rtl/>
        </w:rPr>
        <w:t xml:space="preserve">, </w:t>
      </w:r>
      <w:r w:rsidRPr="00E103FC">
        <w:rPr>
          <w:rFonts w:ascii="DaunPenh" w:hAnsi="DaunPenh" w:hint="cs"/>
          <w:rtl/>
        </w:rPr>
        <w:t>פונה</w:t>
      </w:r>
      <w:r w:rsidRPr="00E103FC">
        <w:rPr>
          <w:rFonts w:ascii="DaunPenh" w:hAnsi="DaunPenh"/>
          <w:rtl/>
        </w:rPr>
        <w:t xml:space="preserve"> </w:t>
      </w:r>
      <w:r w:rsidRPr="00E103FC">
        <w:rPr>
          <w:rFonts w:ascii="DaunPenh" w:hAnsi="DaunPenh" w:hint="cs"/>
          <w:rtl/>
        </w:rPr>
        <w:t>דואר</w:t>
      </w:r>
      <w:r w:rsidRPr="00E103FC">
        <w:rPr>
          <w:rFonts w:ascii="DaunPenh" w:hAnsi="DaunPenh"/>
          <w:rtl/>
        </w:rPr>
        <w:t xml:space="preserve"> </w:t>
      </w:r>
      <w:r w:rsidRPr="00E103FC">
        <w:rPr>
          <w:rFonts w:ascii="DaunPenh" w:hAnsi="DaunPenh" w:hint="cs"/>
          <w:rtl/>
        </w:rPr>
        <w:t>ישראל</w:t>
      </w:r>
      <w:r w:rsidRPr="00E103FC">
        <w:rPr>
          <w:rFonts w:ascii="DaunPenh" w:hAnsi="DaunPenh"/>
          <w:rtl/>
        </w:rPr>
        <w:t xml:space="preserve"> </w:t>
      </w:r>
      <w:r w:rsidRPr="00E103FC">
        <w:rPr>
          <w:rFonts w:ascii="DaunPenh" w:hAnsi="DaunPenh" w:hint="cs"/>
          <w:rtl/>
        </w:rPr>
        <w:t>לרשות</w:t>
      </w:r>
      <w:r w:rsidRPr="00E103FC">
        <w:rPr>
          <w:rFonts w:ascii="DaunPenh" w:hAnsi="DaunPenh"/>
          <w:rtl/>
        </w:rPr>
        <w:t xml:space="preserve"> </w:t>
      </w:r>
      <w:r w:rsidRPr="00E103FC">
        <w:rPr>
          <w:rFonts w:ascii="DaunPenh" w:hAnsi="DaunPenh" w:hint="cs"/>
          <w:rtl/>
        </w:rPr>
        <w:t>המקומית</w:t>
      </w:r>
      <w:r w:rsidRPr="00E103FC">
        <w:rPr>
          <w:rFonts w:ascii="DaunPenh" w:hAnsi="DaunPenh"/>
          <w:rtl/>
        </w:rPr>
        <w:t xml:space="preserve"> </w:t>
      </w:r>
      <w:r w:rsidRPr="00E103FC">
        <w:rPr>
          <w:rFonts w:ascii="DaunPenh" w:hAnsi="DaunPenh" w:hint="cs"/>
          <w:rtl/>
        </w:rPr>
        <w:t>כדי</w:t>
      </w:r>
      <w:r w:rsidRPr="00E103FC">
        <w:rPr>
          <w:rFonts w:ascii="DaunPenh" w:hAnsi="DaunPenh"/>
          <w:rtl/>
        </w:rPr>
        <w:t xml:space="preserve"> </w:t>
      </w:r>
      <w:r w:rsidRPr="00E103FC">
        <w:rPr>
          <w:rFonts w:ascii="DaunPenh" w:hAnsi="DaunPenh" w:hint="cs"/>
          <w:rtl/>
        </w:rPr>
        <w:t>שזו</w:t>
      </w:r>
      <w:r w:rsidRPr="00E103FC">
        <w:rPr>
          <w:rFonts w:ascii="DaunPenh" w:hAnsi="DaunPenh"/>
          <w:rtl/>
        </w:rPr>
        <w:t xml:space="preserve"> </w:t>
      </w:r>
      <w:r w:rsidRPr="00E103FC">
        <w:rPr>
          <w:rFonts w:ascii="DaunPenh" w:hAnsi="DaunPenh" w:hint="cs"/>
          <w:rtl/>
        </w:rPr>
        <w:t>תקצה</w:t>
      </w:r>
      <w:r w:rsidRPr="00E103FC">
        <w:rPr>
          <w:rFonts w:ascii="DaunPenh" w:hAnsi="DaunPenh"/>
          <w:rtl/>
        </w:rPr>
        <w:t xml:space="preserve"> </w:t>
      </w:r>
      <w:r w:rsidRPr="00E103FC">
        <w:rPr>
          <w:rFonts w:ascii="DaunPenh" w:hAnsi="DaunPenh" w:hint="cs"/>
          <w:rtl/>
        </w:rPr>
        <w:t>חניה</w:t>
      </w:r>
      <w:r w:rsidRPr="00E103FC">
        <w:rPr>
          <w:rFonts w:ascii="DaunPenh" w:hAnsi="DaunPenh"/>
          <w:rtl/>
        </w:rPr>
        <w:t xml:space="preserve"> </w:t>
      </w:r>
      <w:r w:rsidRPr="00E103FC">
        <w:rPr>
          <w:rFonts w:ascii="DaunPenh" w:hAnsi="DaunPenh" w:hint="cs"/>
          <w:rtl/>
        </w:rPr>
        <w:t>נגישה</w:t>
      </w:r>
      <w:r w:rsidRPr="00E103FC">
        <w:rPr>
          <w:rFonts w:ascii="DaunPenh" w:hAnsi="DaunPenh"/>
          <w:rtl/>
        </w:rPr>
        <w:t xml:space="preserve"> </w:t>
      </w:r>
      <w:r w:rsidRPr="00E103FC">
        <w:rPr>
          <w:rFonts w:ascii="DaunPenh" w:hAnsi="DaunPenh" w:hint="cs"/>
          <w:rtl/>
        </w:rPr>
        <w:t>ברחוב</w:t>
      </w:r>
      <w:r w:rsidRPr="00E103FC">
        <w:rPr>
          <w:rFonts w:ascii="DaunPenh" w:hAnsi="DaunPenh"/>
          <w:rtl/>
        </w:rPr>
        <w:t xml:space="preserve">. </w:t>
      </w:r>
      <w:r w:rsidRPr="00E103FC">
        <w:rPr>
          <w:rFonts w:ascii="DaunPenh" w:hAnsi="DaunPenh" w:hint="cs"/>
          <w:rtl/>
        </w:rPr>
        <w:t>במקרים</w:t>
      </w:r>
      <w:r w:rsidRPr="00E103FC">
        <w:rPr>
          <w:rFonts w:ascii="DaunPenh" w:hAnsi="DaunPenh"/>
          <w:rtl/>
        </w:rPr>
        <w:t xml:space="preserve"> </w:t>
      </w:r>
      <w:r w:rsidRPr="00E103FC">
        <w:rPr>
          <w:rFonts w:ascii="DaunPenh" w:hAnsi="DaunPenh" w:hint="cs"/>
          <w:rtl/>
        </w:rPr>
        <w:t>אחרים</w:t>
      </w:r>
      <w:r w:rsidRPr="00E103FC">
        <w:rPr>
          <w:rFonts w:ascii="DaunPenh" w:hAnsi="DaunPenh"/>
          <w:rtl/>
        </w:rPr>
        <w:t xml:space="preserve"> </w:t>
      </w:r>
      <w:r w:rsidRPr="00E103FC">
        <w:rPr>
          <w:rFonts w:ascii="DaunPenh" w:hAnsi="DaunPenh" w:hint="cs"/>
          <w:rtl/>
        </w:rPr>
        <w:t>ייתכן</w:t>
      </w:r>
      <w:r w:rsidRPr="00E103FC">
        <w:rPr>
          <w:rFonts w:ascii="DaunPenh" w:hAnsi="DaunPenh"/>
          <w:rtl/>
        </w:rPr>
        <w:t xml:space="preserve"> </w:t>
      </w:r>
      <w:r w:rsidRPr="00E103FC">
        <w:rPr>
          <w:rFonts w:ascii="DaunPenh" w:hAnsi="DaunPenh" w:hint="cs"/>
          <w:rtl/>
        </w:rPr>
        <w:t>מצב</w:t>
      </w:r>
      <w:r w:rsidRPr="00E103FC">
        <w:rPr>
          <w:rFonts w:ascii="DaunPenh" w:hAnsi="DaunPenh"/>
          <w:rtl/>
        </w:rPr>
        <w:t xml:space="preserve"> </w:t>
      </w:r>
      <w:r w:rsidRPr="00E103FC">
        <w:rPr>
          <w:rFonts w:ascii="DaunPenh" w:hAnsi="DaunPenh" w:hint="cs"/>
          <w:rtl/>
        </w:rPr>
        <w:t>בו ינקטו</w:t>
      </w:r>
      <w:r w:rsidRPr="00E103FC">
        <w:rPr>
          <w:rFonts w:ascii="DaunPenh" w:hAnsi="DaunPenh"/>
          <w:rtl/>
        </w:rPr>
        <w:t xml:space="preserve"> </w:t>
      </w:r>
      <w:r w:rsidRPr="00E103FC">
        <w:rPr>
          <w:rFonts w:ascii="DaunPenh" w:hAnsi="DaunPenh" w:hint="cs"/>
          <w:rtl/>
        </w:rPr>
        <w:t>האמצעים</w:t>
      </w:r>
      <w:r w:rsidRPr="00E103FC">
        <w:rPr>
          <w:rFonts w:ascii="DaunPenh" w:hAnsi="DaunPenh"/>
          <w:rtl/>
        </w:rPr>
        <w:t xml:space="preserve"> </w:t>
      </w:r>
      <w:r w:rsidRPr="00E103FC">
        <w:rPr>
          <w:rFonts w:ascii="DaunPenh" w:hAnsi="DaunPenh" w:hint="cs"/>
          <w:rtl/>
        </w:rPr>
        <w:t>הנדרשים</w:t>
      </w:r>
      <w:r w:rsidRPr="00E103FC">
        <w:rPr>
          <w:rFonts w:ascii="DaunPenh" w:hAnsi="DaunPenh"/>
          <w:rtl/>
        </w:rPr>
        <w:t xml:space="preserve"> </w:t>
      </w:r>
      <w:r w:rsidRPr="00E103FC">
        <w:rPr>
          <w:rFonts w:ascii="DaunPenh" w:hAnsi="DaunPenh" w:hint="cs"/>
          <w:rtl/>
        </w:rPr>
        <w:t>בכדי</w:t>
      </w:r>
      <w:r w:rsidRPr="00E103FC">
        <w:rPr>
          <w:rFonts w:ascii="DaunPenh" w:hAnsi="DaunPenh"/>
          <w:rtl/>
        </w:rPr>
        <w:t xml:space="preserve"> </w:t>
      </w:r>
      <w:r w:rsidRPr="00E103FC">
        <w:rPr>
          <w:rFonts w:ascii="DaunPenh" w:hAnsi="DaunPenh" w:hint="cs"/>
          <w:rtl/>
        </w:rPr>
        <w:t>להתמודד</w:t>
      </w:r>
      <w:r w:rsidRPr="00E103FC">
        <w:rPr>
          <w:rFonts w:ascii="DaunPenh" w:hAnsi="DaunPenh"/>
          <w:rtl/>
        </w:rPr>
        <w:t xml:space="preserve"> </w:t>
      </w:r>
      <w:r w:rsidRPr="00E103FC">
        <w:rPr>
          <w:rFonts w:ascii="DaunPenh" w:hAnsi="DaunPenh" w:hint="cs"/>
          <w:rtl/>
        </w:rPr>
        <w:t>עם</w:t>
      </w:r>
      <w:r w:rsidRPr="00E103FC">
        <w:rPr>
          <w:rFonts w:ascii="DaunPenh" w:hAnsi="DaunPenh"/>
          <w:rtl/>
        </w:rPr>
        <w:t xml:space="preserve"> </w:t>
      </w:r>
      <w:r w:rsidRPr="00E103FC">
        <w:rPr>
          <w:rFonts w:ascii="DaunPenh" w:hAnsi="DaunPenh" w:hint="cs"/>
          <w:rtl/>
        </w:rPr>
        <w:t>הפרשי</w:t>
      </w:r>
      <w:r w:rsidRPr="00E103FC">
        <w:rPr>
          <w:rFonts w:ascii="DaunPenh" w:hAnsi="DaunPenh"/>
          <w:rtl/>
        </w:rPr>
        <w:t xml:space="preserve"> </w:t>
      </w:r>
      <w:r w:rsidRPr="00E103FC">
        <w:rPr>
          <w:rFonts w:ascii="DaunPenh" w:hAnsi="DaunPenh" w:hint="cs"/>
          <w:rtl/>
        </w:rPr>
        <w:t>גובה</w:t>
      </w:r>
      <w:r w:rsidRPr="00E103FC">
        <w:rPr>
          <w:rFonts w:ascii="DaunPenh" w:hAnsi="DaunPenh"/>
          <w:rtl/>
        </w:rPr>
        <w:t xml:space="preserve">, </w:t>
      </w:r>
      <w:r w:rsidRPr="00E103FC">
        <w:rPr>
          <w:rFonts w:ascii="DaunPenh" w:hAnsi="DaunPenh" w:hint="cs"/>
          <w:rtl/>
        </w:rPr>
        <w:t>אך</w:t>
      </w:r>
      <w:r w:rsidRPr="00E103FC">
        <w:rPr>
          <w:rFonts w:ascii="DaunPenh" w:hAnsi="DaunPenh"/>
          <w:rtl/>
        </w:rPr>
        <w:t xml:space="preserve"> </w:t>
      </w:r>
      <w:r w:rsidRPr="00E103FC">
        <w:rPr>
          <w:rFonts w:ascii="DaunPenh" w:hAnsi="DaunPenh" w:hint="cs"/>
          <w:rtl/>
        </w:rPr>
        <w:t>אמצעים</w:t>
      </w:r>
      <w:r w:rsidRPr="00E103FC">
        <w:rPr>
          <w:rFonts w:ascii="DaunPenh" w:hAnsi="DaunPenh"/>
          <w:rtl/>
        </w:rPr>
        <w:t xml:space="preserve"> </w:t>
      </w:r>
      <w:r w:rsidRPr="00E103FC">
        <w:rPr>
          <w:rFonts w:ascii="DaunPenh" w:hAnsi="DaunPenh" w:hint="cs"/>
          <w:rtl/>
        </w:rPr>
        <w:t>אלו</w:t>
      </w:r>
      <w:r w:rsidRPr="00E103FC">
        <w:rPr>
          <w:rFonts w:ascii="DaunPenh" w:hAnsi="DaunPenh"/>
          <w:rtl/>
        </w:rPr>
        <w:t xml:space="preserve"> </w:t>
      </w:r>
      <w:r w:rsidRPr="00E103FC">
        <w:rPr>
          <w:rFonts w:ascii="DaunPenh" w:hAnsi="DaunPenh" w:hint="cs"/>
          <w:rtl/>
        </w:rPr>
        <w:t>יתגלו</w:t>
      </w:r>
      <w:r w:rsidRPr="00E103FC">
        <w:rPr>
          <w:rFonts w:ascii="DaunPenh" w:hAnsi="DaunPenh"/>
          <w:rtl/>
        </w:rPr>
        <w:t xml:space="preserve"> </w:t>
      </w:r>
      <w:r w:rsidRPr="00E103FC">
        <w:rPr>
          <w:rFonts w:ascii="DaunPenh" w:hAnsi="DaunPenh" w:hint="cs"/>
          <w:rtl/>
        </w:rPr>
        <w:t>כלא</w:t>
      </w:r>
      <w:r w:rsidRPr="00E103FC">
        <w:rPr>
          <w:rFonts w:ascii="DaunPenh" w:hAnsi="DaunPenh"/>
          <w:rtl/>
        </w:rPr>
        <w:t xml:space="preserve"> </w:t>
      </w:r>
      <w:r w:rsidRPr="00E103FC">
        <w:rPr>
          <w:rFonts w:ascii="DaunPenh" w:hAnsi="DaunPenh" w:hint="cs"/>
          <w:rtl/>
        </w:rPr>
        <w:t>מספקים</w:t>
      </w:r>
      <w:r w:rsidRPr="00E103FC">
        <w:rPr>
          <w:rFonts w:ascii="DaunPenh" w:hAnsi="DaunPenh"/>
          <w:rtl/>
        </w:rPr>
        <w:t xml:space="preserve"> </w:t>
      </w:r>
      <w:r w:rsidRPr="00E103FC">
        <w:rPr>
          <w:rFonts w:ascii="DaunPenh" w:hAnsi="DaunPenh" w:hint="cs"/>
          <w:rtl/>
        </w:rPr>
        <w:t>משום</w:t>
      </w:r>
      <w:r w:rsidRPr="00E103FC">
        <w:rPr>
          <w:rFonts w:ascii="DaunPenh" w:hAnsi="DaunPenh"/>
          <w:rtl/>
        </w:rPr>
        <w:t xml:space="preserve"> </w:t>
      </w:r>
      <w:r w:rsidRPr="00E103FC">
        <w:rPr>
          <w:rFonts w:ascii="DaunPenh" w:hAnsi="DaunPenh" w:hint="cs"/>
          <w:rtl/>
        </w:rPr>
        <w:t>שהמדרכה</w:t>
      </w:r>
      <w:r w:rsidRPr="00E103FC">
        <w:rPr>
          <w:rFonts w:ascii="DaunPenh" w:hAnsi="DaunPenh"/>
          <w:rtl/>
        </w:rPr>
        <w:t xml:space="preserve">, </w:t>
      </w:r>
      <w:r w:rsidRPr="00E103FC">
        <w:rPr>
          <w:rFonts w:ascii="DaunPenh" w:hAnsi="DaunPenh" w:hint="cs"/>
          <w:rtl/>
        </w:rPr>
        <w:t>הנמצאת</w:t>
      </w:r>
      <w:r w:rsidRPr="00E103FC">
        <w:rPr>
          <w:rFonts w:ascii="DaunPenh" w:hAnsi="DaunPenh"/>
          <w:rtl/>
        </w:rPr>
        <w:t xml:space="preserve"> </w:t>
      </w:r>
      <w:r w:rsidRPr="00E103FC">
        <w:rPr>
          <w:rFonts w:ascii="DaunPenh" w:hAnsi="DaunPenh" w:hint="cs"/>
          <w:rtl/>
        </w:rPr>
        <w:t>בבעלות</w:t>
      </w:r>
      <w:r w:rsidRPr="00E103FC">
        <w:rPr>
          <w:rFonts w:ascii="DaunPenh" w:hAnsi="DaunPenh"/>
          <w:rtl/>
        </w:rPr>
        <w:t xml:space="preserve"> </w:t>
      </w:r>
      <w:r w:rsidRPr="00E103FC">
        <w:rPr>
          <w:rFonts w:ascii="DaunPenh" w:hAnsi="DaunPenh" w:hint="cs"/>
          <w:rtl/>
        </w:rPr>
        <w:t>הרשות</w:t>
      </w:r>
      <w:r w:rsidRPr="00E103FC">
        <w:rPr>
          <w:rFonts w:ascii="DaunPenh" w:hAnsi="DaunPenh"/>
          <w:rtl/>
        </w:rPr>
        <w:t xml:space="preserve"> </w:t>
      </w:r>
      <w:r w:rsidRPr="00E103FC">
        <w:rPr>
          <w:rFonts w:ascii="DaunPenh" w:hAnsi="DaunPenh" w:hint="cs"/>
          <w:rtl/>
        </w:rPr>
        <w:t>המקומית</w:t>
      </w:r>
      <w:r w:rsidRPr="00E103FC">
        <w:rPr>
          <w:rFonts w:ascii="DaunPenh" w:hAnsi="DaunPenh"/>
          <w:rtl/>
        </w:rPr>
        <w:t xml:space="preserve">, </w:t>
      </w:r>
      <w:r w:rsidRPr="00E103FC">
        <w:rPr>
          <w:rFonts w:ascii="DaunPenh" w:hAnsi="DaunPenh" w:hint="cs"/>
          <w:rtl/>
        </w:rPr>
        <w:t>מחוררת</w:t>
      </w:r>
      <w:r w:rsidRPr="00E103FC">
        <w:rPr>
          <w:rFonts w:ascii="DaunPenh" w:hAnsi="DaunPenh"/>
          <w:rtl/>
        </w:rPr>
        <w:t xml:space="preserve"> </w:t>
      </w:r>
      <w:r w:rsidRPr="00E103FC">
        <w:rPr>
          <w:rFonts w:ascii="DaunPenh" w:hAnsi="DaunPenh" w:hint="cs"/>
          <w:rtl/>
        </w:rPr>
        <w:t>או</w:t>
      </w:r>
      <w:r w:rsidRPr="00E103FC">
        <w:rPr>
          <w:rFonts w:ascii="DaunPenh" w:hAnsi="DaunPenh"/>
          <w:rtl/>
        </w:rPr>
        <w:t xml:space="preserve"> </w:t>
      </w:r>
      <w:r w:rsidRPr="00E103FC">
        <w:rPr>
          <w:rFonts w:ascii="DaunPenh" w:hAnsi="DaunPenh" w:hint="cs"/>
          <w:rtl/>
        </w:rPr>
        <w:t>הרוסה</w:t>
      </w:r>
      <w:r w:rsidRPr="00E103FC">
        <w:rPr>
          <w:rFonts w:ascii="DaunPenh" w:hAnsi="DaunPenh"/>
          <w:rtl/>
        </w:rPr>
        <w:t>.</w:t>
      </w:r>
      <w:r>
        <w:rPr>
          <w:rFonts w:ascii="DaunPenh" w:hAnsi="DaunPenh" w:hint="cs"/>
          <w:rtl/>
        </w:rPr>
        <w:t xml:space="preserve"> כיום, ההערכה היא שמתוך 3650 המבנים, ב-1298 מבנים, חוסר הנגישות של המבנה נובע אך ורק מהיעדר חניה נגישה. ב-1339 המבנים האחרים, היעדר חניה נגישה אינו הליקוי היחיד. סך הכול, ישנם כ-2400 מבנים שבהם אין כיום חניה נגישה. על הרשויות מוטלת החובה </w:t>
      </w:r>
      <w:proofErr w:type="spellStart"/>
      <w:r>
        <w:rPr>
          <w:rFonts w:ascii="DaunPenh" w:hAnsi="DaunPenh" w:hint="cs"/>
          <w:rtl/>
        </w:rPr>
        <w:t>להנגיש</w:t>
      </w:r>
      <w:proofErr w:type="spellEnd"/>
      <w:r>
        <w:rPr>
          <w:rFonts w:ascii="DaunPenh" w:hAnsi="DaunPenh" w:hint="cs"/>
          <w:rtl/>
        </w:rPr>
        <w:t xml:space="preserve"> את מספר המקומות האמור עד לשנת 2021, אך בדואר ישראל מעריכים שגם אם הרשויות ישלימו התקנת מקומות חניה בחלק מהאתרים, </w:t>
      </w:r>
      <w:proofErr w:type="spellStart"/>
      <w:r>
        <w:rPr>
          <w:rFonts w:ascii="DaunPenh" w:hAnsi="DaunPenh" w:hint="cs"/>
          <w:rtl/>
        </w:rPr>
        <w:t>בכשליש</w:t>
      </w:r>
      <w:proofErr w:type="spellEnd"/>
      <w:r>
        <w:rPr>
          <w:rFonts w:ascii="DaunPenh" w:hAnsi="DaunPenh" w:hint="cs"/>
          <w:rtl/>
        </w:rPr>
        <w:t xml:space="preserve"> מהנכסים לא תתאפשר התקנה של חניה כלל. כלומר, 800 מבנים של דואר ישראל לא יונגשו ויחויבו במעבר מקום נכסי דואר ישראל מתחלקים בין סניפים, מרכזי חלוקה וקישוריות. עלות העברת סניף נאמדת בממוצע ב500,000₪, עלות העברת מרכז חלוקה (מבנה בטון ובו מאות תאי חלוקה) נאמדת בממוצע ב100,000₪ ועלות העברת קישורית (קבוצת תאי חלוקה המותקנת על רהיט רחוב או קיר) נאמדת בממוצע ב10,000₪. הערכה גסה היא כי מתוך 800 המבנים יש 150 סניפים והשאר מתחלקים שווה בשווה בין מרכזי חלוקה וקישוריות. </w:t>
      </w:r>
    </w:p>
    <w:p w14:paraId="0043DD50" w14:textId="77777777" w:rsidR="00E022D2" w:rsidRPr="00636FBD" w:rsidRDefault="00E022D2" w:rsidP="00E022D2">
      <w:pPr>
        <w:spacing w:after="120"/>
        <w:rPr>
          <w:rFonts w:ascii="DaunPenh" w:hAnsi="DaunPenh"/>
          <w:rtl/>
        </w:rPr>
      </w:pPr>
      <w:r>
        <w:rPr>
          <w:rFonts w:ascii="DaunPenh" w:hAnsi="DaunPenh" w:hint="cs"/>
          <w:rtl/>
        </w:rPr>
        <w:t xml:space="preserve">יצוין כי להבדיל מקבוצות החייבים האחרות, על דואר ישראל </w:t>
      </w:r>
      <w:r w:rsidRPr="00F87787">
        <w:rPr>
          <w:rFonts w:ascii="DaunPenh" w:hAnsi="DaunPenh" w:hint="cs"/>
          <w:rtl/>
        </w:rPr>
        <w:t xml:space="preserve">חלה </w:t>
      </w:r>
      <w:r>
        <w:rPr>
          <w:rFonts w:ascii="DaunPenh" w:hAnsi="DaunPenh" w:hint="cs"/>
          <w:rtl/>
        </w:rPr>
        <w:t xml:space="preserve">על </w:t>
      </w:r>
      <w:r w:rsidRPr="00F87787">
        <w:rPr>
          <w:rFonts w:ascii="DaunPenh" w:hAnsi="DaunPenh" w:hint="cs"/>
          <w:rtl/>
        </w:rPr>
        <w:t>חובה לספק שירותי דואר באמצעות יחידת דואר בכל ישוב שמספר תושביו עולה על 1,000 איש. בשל חובה זו, ישנו הסדר ספציפי מקל שלפיו סניף או נקודת חלוקה יכולים לקבל פטור מהנגשה, אם ברדיוס של כ-5 קילומטר מהם נמצא סניף נגיש.</w:t>
      </w:r>
      <w:r>
        <w:rPr>
          <w:rFonts w:ascii="DaunPenh" w:hAnsi="DaunPenh" w:hint="cs"/>
          <w:rtl/>
        </w:rPr>
        <w:t xml:space="preserve"> עם זאת, ציינו דואר ישראל כי על אף הקלה זו, גם הם נאלצים, בהיעדר חלופות אחרות לסגור או לאחד סניפים.</w:t>
      </w:r>
      <w:r w:rsidRPr="00F87787">
        <w:rPr>
          <w:rFonts w:ascii="DaunPenh" w:hAnsi="DaunPenh" w:hint="cs"/>
          <w:rtl/>
        </w:rPr>
        <w:t xml:space="preserve"> </w:t>
      </w:r>
    </w:p>
    <w:p w14:paraId="468DF3C5" w14:textId="77777777" w:rsidR="00E022D2" w:rsidRDefault="00E022D2" w:rsidP="00E022D2">
      <w:pPr>
        <w:spacing w:after="120"/>
        <w:rPr>
          <w:rFonts w:ascii="DaunPenh" w:hAnsi="DaunPenh"/>
          <w:b/>
          <w:bCs/>
          <w:rtl/>
        </w:rPr>
      </w:pPr>
      <w:r w:rsidRPr="007262CE">
        <w:rPr>
          <w:rFonts w:ascii="DaunPenh" w:hAnsi="DaunPenh" w:hint="cs"/>
          <w:b/>
          <w:bCs/>
          <w:rtl/>
        </w:rPr>
        <w:t>הדיור הממשלתי</w:t>
      </w:r>
      <w:r>
        <w:rPr>
          <w:rFonts w:ascii="DaunPenh" w:hAnsi="DaunPenh" w:hint="cs"/>
          <w:b/>
          <w:bCs/>
          <w:rtl/>
        </w:rPr>
        <w:t xml:space="preserve">: </w:t>
      </w:r>
      <w:r>
        <w:rPr>
          <w:rFonts w:ascii="DaunPenh" w:hAnsi="DaunPenh" w:hint="cs"/>
          <w:rtl/>
        </w:rPr>
        <w:t xml:space="preserve">לדיור הממשלתי כ-4,500 מבנים. מתוכם, נדרשת כיום </w:t>
      </w:r>
      <w:proofErr w:type="spellStart"/>
      <w:r>
        <w:rPr>
          <w:rFonts w:ascii="DaunPenh" w:hAnsi="DaunPenh" w:hint="cs"/>
          <w:rtl/>
        </w:rPr>
        <w:t>הנגשתם</w:t>
      </w:r>
      <w:proofErr w:type="spellEnd"/>
      <w:r>
        <w:rPr>
          <w:rFonts w:ascii="DaunPenh" w:hAnsi="DaunPenh" w:hint="cs"/>
          <w:rtl/>
        </w:rPr>
        <w:t xml:space="preserve"> של 2000 בניינים שבהם ניתן שירות לציבור והם אינם נגישים. על פי הנתונים שנמסרו מהדיור הממשלתי, עד לסוף שנת 2018 יהיו 1000 מתוכם נגישים. 500 יונגשו עד סוף 2019 והיתרה עד סוף 2020, אלא אם הבניין מתוכנן לעבור מקום עד 2023. לדברי הדיור הממשלתי, הדרישות שיישומן הוא המורכב ביותר הן גישור בין פערי גובה והסדרת דרך נגישה למבנה. מנתונים שמסר הדיור הממשלתי עולה כי עלות מעבר המקום נעה בין מיליון ₪ לחמישה מיליון ₪ בפריפריה, ויכולה להגיע לכ-30 מיליון ₪ במרכז הארץ. על אף </w:t>
      </w:r>
      <w:proofErr w:type="spellStart"/>
      <w:r>
        <w:rPr>
          <w:rFonts w:ascii="DaunPenh" w:hAnsi="DaunPenh" w:hint="cs"/>
          <w:rtl/>
        </w:rPr>
        <w:t>נסיונות</w:t>
      </w:r>
      <w:proofErr w:type="spellEnd"/>
      <w:r>
        <w:rPr>
          <w:rFonts w:ascii="DaunPenh" w:hAnsi="DaunPenh" w:hint="cs"/>
          <w:rtl/>
        </w:rPr>
        <w:t xml:space="preserve"> חוזרים ונשנים לקבל נתונים מפורטים יותר באשר למבנים שבהם היעדר חניה נגישה הוא הליקוי המרכזי ובפרט הערכה לגבי מספר המבנים שבהם היעדר החניה הנגישה יחייב במעבר מקום, נתונים אלו לא התקבלו עד לכתיבת דוח זה.  </w:t>
      </w:r>
      <w:r w:rsidRPr="007262CE">
        <w:rPr>
          <w:rFonts w:ascii="DaunPenh" w:hAnsi="DaunPenh" w:hint="cs"/>
          <w:b/>
          <w:bCs/>
          <w:rtl/>
        </w:rPr>
        <w:t xml:space="preserve">  </w:t>
      </w:r>
    </w:p>
    <w:p w14:paraId="4ECD9EC3" w14:textId="77777777" w:rsidR="00E022D2" w:rsidRDefault="00E022D2" w:rsidP="00E022D2">
      <w:pPr>
        <w:spacing w:after="120"/>
        <w:rPr>
          <w:rFonts w:ascii="DaunPenh" w:hAnsi="DaunPenh"/>
          <w:b/>
          <w:bCs/>
          <w:rtl/>
        </w:rPr>
      </w:pPr>
      <w:r>
        <w:rPr>
          <w:rFonts w:ascii="DaunPenh" w:hAnsi="DaunPenh" w:hint="cs"/>
          <w:b/>
          <w:bCs/>
          <w:rtl/>
        </w:rPr>
        <w:t xml:space="preserve">רשויות מקומיות: </w:t>
      </w:r>
    </w:p>
    <w:p w14:paraId="41509108" w14:textId="77777777" w:rsidR="00E022D2" w:rsidRPr="00E103FC" w:rsidRDefault="00E022D2" w:rsidP="00E022D2">
      <w:pPr>
        <w:spacing w:before="240"/>
        <w:rPr>
          <w:rFonts w:ascii="Arial" w:hAnsi="Arial"/>
        </w:rPr>
      </w:pPr>
      <w:r w:rsidRPr="00E103FC">
        <w:rPr>
          <w:rFonts w:ascii="DaunPenh" w:hAnsi="DaunPenh" w:hint="cs"/>
          <w:rtl/>
        </w:rPr>
        <w:t xml:space="preserve">מנתונים שנמסרו על-ידי משרד הפנים עולה כי יש לכל הפחות 6000 מבנים שהתקנות חלות עליהם. </w:t>
      </w:r>
      <w:r w:rsidRPr="00E103FC">
        <w:rPr>
          <w:rFonts w:ascii="Arial" w:hAnsi="Arial" w:hint="cs"/>
          <w:rtl/>
        </w:rPr>
        <w:t xml:space="preserve">משרד הפנים ערך סקרי נגישות בכ-196 רשויות. מניתוח סקרים אלו ניתן להעריך כי ב-196 רשויות אלו ישנם כ-4000 מבנים </w:t>
      </w:r>
      <w:r>
        <w:rPr>
          <w:rFonts w:ascii="Arial" w:hAnsi="Arial" w:hint="cs"/>
          <w:rtl/>
        </w:rPr>
        <w:t>שאינם נגישים.</w:t>
      </w:r>
      <w:r w:rsidRPr="00E103FC">
        <w:rPr>
          <w:rFonts w:ascii="Arial" w:hAnsi="Arial" w:hint="cs"/>
          <w:rtl/>
        </w:rPr>
        <w:t xml:space="preserve"> עלות ההנגשה הממוצעת למבנה עומדת בקירוב על </w:t>
      </w:r>
      <w:r w:rsidRPr="00E103FC">
        <w:rPr>
          <w:rFonts w:ascii="Arial" w:hAnsi="Arial"/>
          <w:rtl/>
        </w:rPr>
        <w:t xml:space="preserve">21,195 </w:t>
      </w:r>
      <w:r w:rsidRPr="00E103FC">
        <w:rPr>
          <w:rFonts w:ascii="Arial" w:hAnsi="Arial" w:hint="cs"/>
          <w:rtl/>
        </w:rPr>
        <w:t xml:space="preserve">ומכאן שעלות כלל </w:t>
      </w:r>
      <w:proofErr w:type="spellStart"/>
      <w:r w:rsidRPr="00E103FC">
        <w:rPr>
          <w:rFonts w:ascii="Arial" w:hAnsi="Arial" w:hint="cs"/>
          <w:rtl/>
        </w:rPr>
        <w:lastRenderedPageBreak/>
        <w:t>הנגשת</w:t>
      </w:r>
      <w:proofErr w:type="spellEnd"/>
      <w:r w:rsidRPr="00E103FC">
        <w:rPr>
          <w:rFonts w:ascii="Arial" w:hAnsi="Arial" w:hint="cs"/>
          <w:rtl/>
        </w:rPr>
        <w:t xml:space="preserve"> המבנים עומדת על 84,780,000.</w:t>
      </w:r>
      <w:r w:rsidRPr="00E103FC">
        <w:rPr>
          <w:rStyle w:val="FootnoteReference"/>
          <w:rFonts w:ascii="Arial" w:hAnsi="Arial"/>
          <w:rtl/>
        </w:rPr>
        <w:footnoteReference w:id="10"/>
      </w:r>
      <w:r w:rsidRPr="00E103FC">
        <w:rPr>
          <w:rFonts w:ascii="Arial" w:hAnsi="Arial" w:hint="cs"/>
          <w:rtl/>
        </w:rPr>
        <w:t xml:space="preserve"> </w:t>
      </w:r>
      <w:r w:rsidRPr="004F103C">
        <w:rPr>
          <w:rFonts w:ascii="Arial" w:hAnsi="Arial" w:hint="cs"/>
          <w:rtl/>
        </w:rPr>
        <w:t>יצוין</w:t>
      </w:r>
      <w:r w:rsidRPr="004F103C">
        <w:rPr>
          <w:rFonts w:ascii="Arial" w:hAnsi="Arial"/>
          <w:rtl/>
        </w:rPr>
        <w:t xml:space="preserve"> </w:t>
      </w:r>
      <w:r w:rsidRPr="004F103C">
        <w:rPr>
          <w:rFonts w:ascii="Arial" w:hAnsi="Arial" w:hint="cs"/>
          <w:rtl/>
        </w:rPr>
        <w:t>כי</w:t>
      </w:r>
      <w:r w:rsidRPr="004F103C">
        <w:rPr>
          <w:rFonts w:ascii="Arial" w:hAnsi="Arial"/>
          <w:rtl/>
        </w:rPr>
        <w:t xml:space="preserve"> </w:t>
      </w:r>
      <w:r w:rsidRPr="004F103C">
        <w:rPr>
          <w:rFonts w:ascii="Arial" w:hAnsi="Arial" w:hint="cs"/>
          <w:rtl/>
        </w:rPr>
        <w:t>רבות</w:t>
      </w:r>
      <w:r w:rsidRPr="004F103C">
        <w:rPr>
          <w:rFonts w:ascii="Arial" w:hAnsi="Arial"/>
          <w:rtl/>
        </w:rPr>
        <w:t xml:space="preserve"> </w:t>
      </w:r>
      <w:r w:rsidRPr="004F103C">
        <w:rPr>
          <w:rFonts w:ascii="Arial" w:hAnsi="Arial" w:hint="cs"/>
          <w:rtl/>
        </w:rPr>
        <w:t>מהרשויות</w:t>
      </w:r>
      <w:r w:rsidRPr="004F103C">
        <w:rPr>
          <w:rFonts w:ascii="Arial" w:hAnsi="Arial"/>
          <w:rtl/>
        </w:rPr>
        <w:t xml:space="preserve"> </w:t>
      </w:r>
      <w:r w:rsidRPr="004F103C">
        <w:rPr>
          <w:rFonts w:ascii="Arial" w:hAnsi="Arial" w:hint="cs"/>
          <w:rtl/>
        </w:rPr>
        <w:t>שלא</w:t>
      </w:r>
      <w:r w:rsidRPr="004F103C">
        <w:rPr>
          <w:rFonts w:ascii="Arial" w:hAnsi="Arial"/>
          <w:rtl/>
        </w:rPr>
        <w:t xml:space="preserve"> </w:t>
      </w:r>
      <w:r w:rsidRPr="004F103C">
        <w:rPr>
          <w:rFonts w:ascii="Arial" w:hAnsi="Arial" w:hint="cs"/>
          <w:rtl/>
        </w:rPr>
        <w:t>נכל</w:t>
      </w:r>
      <w:r>
        <w:rPr>
          <w:rFonts w:ascii="Arial" w:hAnsi="Arial" w:hint="cs"/>
          <w:rtl/>
        </w:rPr>
        <w:t>ל</w:t>
      </w:r>
      <w:r w:rsidRPr="004F103C">
        <w:rPr>
          <w:rFonts w:ascii="Arial" w:hAnsi="Arial" w:hint="cs"/>
          <w:rtl/>
        </w:rPr>
        <w:t>ו</w:t>
      </w:r>
      <w:r w:rsidRPr="004F103C">
        <w:rPr>
          <w:rFonts w:ascii="Arial" w:hAnsi="Arial"/>
          <w:rtl/>
        </w:rPr>
        <w:t xml:space="preserve"> </w:t>
      </w:r>
      <w:r w:rsidRPr="004F103C">
        <w:rPr>
          <w:rFonts w:ascii="Arial" w:hAnsi="Arial" w:hint="cs"/>
          <w:rtl/>
        </w:rPr>
        <w:t>ברשימת</w:t>
      </w:r>
      <w:r w:rsidRPr="004F103C">
        <w:rPr>
          <w:rFonts w:ascii="Arial" w:hAnsi="Arial"/>
          <w:rtl/>
        </w:rPr>
        <w:t xml:space="preserve"> 196 </w:t>
      </w:r>
      <w:r w:rsidRPr="004F103C">
        <w:rPr>
          <w:rFonts w:ascii="Arial" w:hAnsi="Arial" w:hint="cs"/>
          <w:rtl/>
        </w:rPr>
        <w:t>הרשויות</w:t>
      </w:r>
      <w:r w:rsidRPr="004F103C">
        <w:rPr>
          <w:rFonts w:ascii="Arial" w:hAnsi="Arial"/>
          <w:rtl/>
        </w:rPr>
        <w:t xml:space="preserve"> </w:t>
      </w:r>
      <w:r w:rsidRPr="004F103C">
        <w:rPr>
          <w:rFonts w:ascii="Arial" w:hAnsi="Arial" w:hint="cs"/>
          <w:rtl/>
        </w:rPr>
        <w:t>שנסקרו</w:t>
      </w:r>
      <w:r w:rsidRPr="004F103C">
        <w:rPr>
          <w:rFonts w:ascii="Arial" w:hAnsi="Arial"/>
          <w:rtl/>
        </w:rPr>
        <w:t xml:space="preserve">, </w:t>
      </w:r>
      <w:r w:rsidRPr="00E103FC">
        <w:rPr>
          <w:rFonts w:ascii="Arial" w:hAnsi="Arial" w:hint="cs"/>
          <w:rtl/>
        </w:rPr>
        <w:t>הן</w:t>
      </w:r>
      <w:r w:rsidRPr="00E103FC">
        <w:rPr>
          <w:rFonts w:ascii="Arial" w:hAnsi="Arial"/>
          <w:rtl/>
        </w:rPr>
        <w:t xml:space="preserve"> רשויות גדולות וחזקות בעלות מספר רב של מבנים</w:t>
      </w:r>
      <w:r w:rsidRPr="00E103FC">
        <w:rPr>
          <w:rFonts w:ascii="Arial" w:hAnsi="Arial" w:hint="cs"/>
          <w:rtl/>
        </w:rPr>
        <w:t xml:space="preserve">, ולא ניתן היה להשיג נתונים באשר למספר המבנים שעל רשויות אלו </w:t>
      </w:r>
      <w:proofErr w:type="spellStart"/>
      <w:r w:rsidRPr="00E103FC">
        <w:rPr>
          <w:rFonts w:ascii="Arial" w:hAnsi="Arial" w:hint="cs"/>
          <w:rtl/>
        </w:rPr>
        <w:t>להנגיש</w:t>
      </w:r>
      <w:proofErr w:type="spellEnd"/>
      <w:r w:rsidRPr="00E103FC">
        <w:rPr>
          <w:rFonts w:ascii="Arial" w:hAnsi="Arial" w:hint="cs"/>
          <w:rtl/>
        </w:rPr>
        <w:t xml:space="preserve">, או על עלות ההנגשה הצפויה. </w:t>
      </w:r>
      <w:r w:rsidRPr="00E103FC">
        <w:rPr>
          <w:rFonts w:ascii="DaunPenh" w:hAnsi="DaunPenh" w:hint="cs"/>
          <w:rtl/>
        </w:rPr>
        <w:t>מועד סיום ההנגשה ההדרגתית של הרשויות המקומיות הוא בשנת 2021 ולכן ניתן להניח שחלק ניכר טרם הנוגש.</w:t>
      </w:r>
      <w:r>
        <w:rPr>
          <w:rFonts w:ascii="Arial" w:hAnsi="Arial" w:hint="cs"/>
          <w:rtl/>
        </w:rPr>
        <w:t xml:space="preserve"> בנוסף, לא ניתן היה להפיק נתונים באשר למספר המבנים שהיעדר החניה הנגישה בהם יחייב במעבר מקום. </w:t>
      </w:r>
    </w:p>
    <w:p w14:paraId="4AD8B2DA" w14:textId="77777777" w:rsidR="00E022D2" w:rsidRPr="00DC18E9" w:rsidRDefault="00E022D2" w:rsidP="00E022D2">
      <w:pPr>
        <w:spacing w:after="120"/>
        <w:rPr>
          <w:b/>
          <w:bCs/>
          <w:rtl/>
        </w:rPr>
      </w:pPr>
      <w:r w:rsidRPr="00DC18E9">
        <w:rPr>
          <w:rFonts w:hint="cs"/>
          <w:b/>
          <w:bCs/>
          <w:rtl/>
        </w:rPr>
        <w:t>נותני שירות שהם חובה המוטלת על הציבור</w:t>
      </w:r>
      <w:r>
        <w:rPr>
          <w:rFonts w:hint="cs"/>
          <w:b/>
          <w:bCs/>
          <w:rtl/>
        </w:rPr>
        <w:t>:</w:t>
      </w:r>
      <w:r w:rsidRPr="00DC18E9">
        <w:rPr>
          <w:rFonts w:hint="cs"/>
          <w:b/>
          <w:bCs/>
          <w:rtl/>
        </w:rPr>
        <w:t xml:space="preserve"> </w:t>
      </w:r>
    </w:p>
    <w:p w14:paraId="765231F4" w14:textId="77777777" w:rsidR="00E022D2" w:rsidRDefault="00E022D2" w:rsidP="00E022D2">
      <w:pPr>
        <w:spacing w:after="120"/>
        <w:rPr>
          <w:rFonts w:ascii="DaunPenh" w:hAnsi="DaunPenh"/>
          <w:rtl/>
        </w:rPr>
      </w:pPr>
      <w:r w:rsidRPr="00AF270B">
        <w:rPr>
          <w:rFonts w:ascii="DaunPenh" w:hAnsi="DaunPenh" w:hint="cs"/>
          <w:b/>
          <w:bCs/>
          <w:rtl/>
        </w:rPr>
        <w:t>מכוני רישוי</w:t>
      </w:r>
      <w:r w:rsidRPr="00AF270B">
        <w:rPr>
          <w:rFonts w:ascii="DaunPenh" w:hAnsi="DaunPenh" w:hint="cs"/>
          <w:rtl/>
        </w:rPr>
        <w:t xml:space="preserve"> - לפי איגוד מכוני הרישוי כולם יהיו נגישים עד 2019</w:t>
      </w:r>
      <w:r>
        <w:rPr>
          <w:rFonts w:ascii="DaunPenh" w:hAnsi="DaunPenh" w:hint="cs"/>
          <w:rtl/>
        </w:rPr>
        <w:t xml:space="preserve">, כאשר הקושי העיקרי הוא </w:t>
      </w:r>
      <w:proofErr w:type="spellStart"/>
      <w:r>
        <w:rPr>
          <w:rFonts w:ascii="DaunPenh" w:hAnsi="DaunPenh" w:hint="cs"/>
          <w:rtl/>
        </w:rPr>
        <w:t>הנגשת</w:t>
      </w:r>
      <w:proofErr w:type="spellEnd"/>
      <w:r>
        <w:rPr>
          <w:rFonts w:ascii="DaunPenh" w:hAnsi="DaunPenh" w:hint="cs"/>
          <w:rtl/>
        </w:rPr>
        <w:t xml:space="preserve"> בתי שימוש.</w:t>
      </w:r>
    </w:p>
    <w:p w14:paraId="4A5358E6" w14:textId="77777777" w:rsidR="00E022D2" w:rsidRDefault="00E022D2" w:rsidP="00E022D2">
      <w:pPr>
        <w:spacing w:after="120"/>
        <w:rPr>
          <w:rFonts w:ascii="DaunPenh" w:hAnsi="DaunPenh"/>
          <w:rtl/>
        </w:rPr>
      </w:pPr>
      <w:r w:rsidRPr="00CA75CC">
        <w:rPr>
          <w:rFonts w:ascii="DaunPenh" w:hAnsi="DaunPenh" w:hint="cs"/>
          <w:b/>
          <w:bCs/>
          <w:rtl/>
        </w:rPr>
        <w:t>לימוד נהיגה מונעת</w:t>
      </w:r>
      <w:r>
        <w:rPr>
          <w:rFonts w:ascii="DaunPenh" w:hAnsi="DaunPenh" w:hint="cs"/>
          <w:rtl/>
        </w:rPr>
        <w:t xml:space="preserve"> </w:t>
      </w:r>
      <w:r>
        <w:rPr>
          <w:rFonts w:ascii="DaunPenh" w:hAnsi="DaunPenh"/>
          <w:rtl/>
        </w:rPr>
        <w:t>–</w:t>
      </w:r>
      <w:r>
        <w:rPr>
          <w:rFonts w:ascii="DaunPenh" w:hAnsi="DaunPenh" w:hint="cs"/>
          <w:rtl/>
        </w:rPr>
        <w:t>כל המקומות נגישים.</w:t>
      </w:r>
    </w:p>
    <w:p w14:paraId="7A8641BF" w14:textId="77777777" w:rsidR="00E022D2" w:rsidRPr="00AF270B" w:rsidRDefault="00E022D2" w:rsidP="00E022D2">
      <w:pPr>
        <w:spacing w:after="120"/>
        <w:rPr>
          <w:rFonts w:ascii="DaunPenh" w:hAnsi="DaunPenh"/>
          <w:rtl/>
        </w:rPr>
      </w:pPr>
      <w:r>
        <w:rPr>
          <w:rFonts w:ascii="DaunPenh" w:hAnsi="DaunPenh" w:hint="cs"/>
          <w:rtl/>
        </w:rPr>
        <w:t>מקומות רלבנטיים נוספים הם למשל מטווחים לרישוי כלי ירייה, אופטומטריסטים שאישרם נדרש לצורך רישיון נהיגה.</w:t>
      </w:r>
    </w:p>
    <w:p w14:paraId="0B95468F" w14:textId="77777777" w:rsidR="00E022D2" w:rsidRPr="00593ED8" w:rsidRDefault="00E022D2" w:rsidP="00E022D2">
      <w:pPr>
        <w:spacing w:after="120"/>
        <w:rPr>
          <w:rFonts w:ascii="DaunPenh" w:hAnsi="DaunPenh"/>
          <w:rtl/>
        </w:rPr>
      </w:pPr>
      <w:r>
        <w:rPr>
          <w:rFonts w:ascii="DaunPenh" w:hAnsi="DaunPenh" w:hint="cs"/>
          <w:b/>
          <w:bCs/>
          <w:rtl/>
        </w:rPr>
        <w:t>ה</w:t>
      </w:r>
      <w:r w:rsidRPr="00D2661A">
        <w:rPr>
          <w:rFonts w:ascii="DaunPenh" w:hAnsi="DaunPenh" w:hint="cs"/>
          <w:b/>
          <w:bCs/>
          <w:rtl/>
        </w:rPr>
        <w:t>הסתדרות</w:t>
      </w:r>
      <w:r>
        <w:rPr>
          <w:rFonts w:ascii="DaunPenh" w:hAnsi="DaunPenh" w:hint="cs"/>
          <w:b/>
          <w:bCs/>
          <w:rtl/>
        </w:rPr>
        <w:t xml:space="preserve"> הציונית:</w:t>
      </w:r>
      <w:r>
        <w:rPr>
          <w:rFonts w:ascii="DaunPenh" w:hAnsi="DaunPenh" w:hint="cs"/>
          <w:rtl/>
        </w:rPr>
        <w:t xml:space="preserve"> </w:t>
      </w:r>
      <w:r w:rsidRPr="00593ED8">
        <w:rPr>
          <w:rFonts w:ascii="DaunPenh" w:hAnsi="DaunPenh"/>
          <w:rtl/>
        </w:rPr>
        <w:t>ההסתדרות הציונית העולמית מספקת שירות לציבור באתרים</w:t>
      </w:r>
      <w:r>
        <w:rPr>
          <w:rFonts w:ascii="DaunPenh" w:hAnsi="DaunPenh" w:hint="cs"/>
          <w:rtl/>
        </w:rPr>
        <w:t xml:space="preserve"> הבאים, לגביהם מסרו כך:</w:t>
      </w:r>
      <w:r w:rsidRPr="00593ED8">
        <w:rPr>
          <w:rFonts w:ascii="DaunPenh" w:hAnsi="DaunPenh"/>
          <w:rtl/>
        </w:rPr>
        <w:t xml:space="preserve"> </w:t>
      </w:r>
      <w:r>
        <w:rPr>
          <w:rFonts w:ascii="DaunPenh" w:hAnsi="DaunPenh" w:hint="cs"/>
          <w:rtl/>
        </w:rPr>
        <w:t xml:space="preserve"> </w:t>
      </w:r>
      <w:r w:rsidRPr="00AF270B">
        <w:rPr>
          <w:rFonts w:ascii="DaunPenh" w:hAnsi="DaunPenh"/>
          <w:b/>
          <w:bCs/>
          <w:rtl/>
        </w:rPr>
        <w:t>מרכז הרצל</w:t>
      </w:r>
      <w:r w:rsidRPr="00AF270B">
        <w:rPr>
          <w:rFonts w:ascii="DaunPenh" w:hAnsi="DaunPenh"/>
          <w:rtl/>
        </w:rPr>
        <w:t xml:space="preserve"> </w:t>
      </w:r>
      <w:r>
        <w:rPr>
          <w:rFonts w:ascii="DaunPenh" w:hAnsi="DaunPenh"/>
          <w:rtl/>
        </w:rPr>
        <w:t>–</w:t>
      </w:r>
      <w:r>
        <w:rPr>
          <w:rFonts w:ascii="DaunPenh" w:hAnsi="DaunPenh" w:hint="cs"/>
          <w:rtl/>
        </w:rPr>
        <w:t xml:space="preserve"> נגיש,</w:t>
      </w:r>
      <w:r w:rsidRPr="00593ED8">
        <w:rPr>
          <w:rFonts w:ascii="DaunPenh" w:hAnsi="DaunPenh"/>
          <w:rtl/>
        </w:rPr>
        <w:t xml:space="preserve"> </w:t>
      </w:r>
      <w:r w:rsidRPr="00593ED8">
        <w:rPr>
          <w:rFonts w:ascii="DaunPenh" w:hAnsi="DaunPenh" w:hint="cs"/>
          <w:b/>
          <w:bCs/>
          <w:rtl/>
        </w:rPr>
        <w:t xml:space="preserve">הארכיון </w:t>
      </w:r>
      <w:r w:rsidRPr="00593ED8">
        <w:rPr>
          <w:rFonts w:ascii="DaunPenh" w:hAnsi="DaunPenh"/>
          <w:b/>
          <w:bCs/>
          <w:rtl/>
        </w:rPr>
        <w:t>הציוני</w:t>
      </w:r>
      <w:r w:rsidRPr="00593ED8">
        <w:rPr>
          <w:rFonts w:ascii="DaunPenh" w:hAnsi="DaunPenh"/>
          <w:rtl/>
        </w:rPr>
        <w:t xml:space="preserve"> </w:t>
      </w:r>
      <w:r>
        <w:rPr>
          <w:rFonts w:ascii="DaunPenh" w:hAnsi="DaunPenh"/>
          <w:rtl/>
        </w:rPr>
        <w:t>–</w:t>
      </w:r>
      <w:r>
        <w:rPr>
          <w:rFonts w:ascii="DaunPenh" w:hAnsi="DaunPenh" w:hint="cs"/>
          <w:rtl/>
        </w:rPr>
        <w:t xml:space="preserve"> יונגש לאחר שיסתיימו השיפוצים בסביבת בנייני האומה. כמו כן יש מבנה משרדים בתל אביב שהוא נגיש.</w:t>
      </w:r>
    </w:p>
    <w:p w14:paraId="78C08D53" w14:textId="77777777" w:rsidR="00E022D2" w:rsidRPr="00D2661A" w:rsidRDefault="00E022D2" w:rsidP="00E022D2">
      <w:pPr>
        <w:spacing w:after="120"/>
        <w:rPr>
          <w:rFonts w:ascii="DaunPenh" w:hAnsi="DaunPenh"/>
          <w:b/>
          <w:bCs/>
          <w:rtl/>
        </w:rPr>
      </w:pPr>
      <w:r w:rsidRPr="00D2661A">
        <w:rPr>
          <w:rFonts w:ascii="DaunPenh" w:hAnsi="DaunPenh" w:hint="cs"/>
          <w:b/>
          <w:bCs/>
          <w:rtl/>
        </w:rPr>
        <w:t>הסוכנות היהודית:</w:t>
      </w:r>
      <w:r>
        <w:rPr>
          <w:rFonts w:ascii="DaunPenh" w:hAnsi="DaunPenh" w:hint="cs"/>
          <w:b/>
          <w:bCs/>
          <w:rtl/>
        </w:rPr>
        <w:t xml:space="preserve"> </w:t>
      </w:r>
      <w:r w:rsidRPr="00593ED8">
        <w:rPr>
          <w:rFonts w:ascii="DaunPenh" w:hAnsi="DaunPenh"/>
          <w:rtl/>
        </w:rPr>
        <w:t>יש 30 מבנים עם ליקויי</w:t>
      </w:r>
      <w:r w:rsidRPr="00593ED8">
        <w:rPr>
          <w:rFonts w:ascii="DaunPenh" w:hAnsi="DaunPenh" w:hint="cs"/>
          <w:rtl/>
        </w:rPr>
        <w:t xml:space="preserve"> נגישות </w:t>
      </w:r>
      <w:r w:rsidRPr="00593ED8">
        <w:rPr>
          <w:rFonts w:ascii="DaunPenh" w:hAnsi="DaunPenh"/>
          <w:rtl/>
        </w:rPr>
        <w:t>–</w:t>
      </w:r>
      <w:r w:rsidRPr="00593ED8">
        <w:rPr>
          <w:rFonts w:ascii="DaunPenh" w:hAnsi="DaunPenh" w:hint="cs"/>
          <w:rtl/>
        </w:rPr>
        <w:t xml:space="preserve"> הערכת עלות ההנגשה היא כ 17,000,000. העריכו שלא יעברו מקום, אלא יבצעו הנגשה</w:t>
      </w:r>
      <w:r>
        <w:rPr>
          <w:rFonts w:ascii="Arial" w:hAnsi="Arial" w:cs="Arial" w:hint="cs"/>
          <w:rtl/>
        </w:rPr>
        <w:t>.</w:t>
      </w:r>
    </w:p>
    <w:p w14:paraId="0DFA9DE5" w14:textId="77777777" w:rsidR="00E022D2" w:rsidRPr="0014376A" w:rsidRDefault="00E022D2" w:rsidP="00E022D2">
      <w:pPr>
        <w:rPr>
          <w:rFonts w:ascii="DaunPenh" w:hAnsi="DaunPenh"/>
          <w:b/>
          <w:bCs/>
          <w:u w:val="single"/>
          <w:rtl/>
        </w:rPr>
      </w:pPr>
      <w:r w:rsidRPr="0014376A">
        <w:rPr>
          <w:rFonts w:ascii="DaunPenh" w:hAnsi="DaunPenh" w:hint="cs"/>
          <w:b/>
          <w:bCs/>
          <w:u w:val="single"/>
          <w:rtl/>
        </w:rPr>
        <w:t xml:space="preserve">קשיים שהועלו על ידי אנשים עם מוגבלות </w:t>
      </w:r>
    </w:p>
    <w:p w14:paraId="62880D84" w14:textId="77777777" w:rsidR="00E022D2" w:rsidRDefault="00E022D2" w:rsidP="00E022D2">
      <w:pPr>
        <w:rPr>
          <w:rFonts w:ascii="DaunPenh" w:hAnsi="DaunPenh"/>
          <w:rtl/>
        </w:rPr>
      </w:pPr>
      <w:r w:rsidRPr="00595BC0">
        <w:rPr>
          <w:rFonts w:ascii="DaunPenh" w:hAnsi="DaunPenh" w:hint="cs"/>
          <w:rtl/>
        </w:rPr>
        <w:t xml:space="preserve">יצוין כי במקביל לקשיים שהעלו החייבים, </w:t>
      </w:r>
      <w:r>
        <w:rPr>
          <w:rFonts w:ascii="DaunPenh" w:hAnsi="DaunPenh" w:hint="cs"/>
          <w:rtl/>
        </w:rPr>
        <w:t>קיבלה הנציבות פניות</w:t>
      </w:r>
      <w:r w:rsidRPr="00595BC0">
        <w:rPr>
          <w:rFonts w:ascii="DaunPenh" w:hAnsi="DaunPenh" w:hint="cs"/>
          <w:rtl/>
        </w:rPr>
        <w:t xml:space="preserve"> מאנשים עם מוגבלות בדבר קשיים שהם נתקלים בהם בבואם לצרוך שירותים ציבוריים שונים יחד עם כלל הציבור. </w:t>
      </w:r>
    </w:p>
    <w:p w14:paraId="187B6B0E" w14:textId="77777777" w:rsidR="00E022D2" w:rsidRDefault="00E022D2" w:rsidP="00E022D2">
      <w:pPr>
        <w:rPr>
          <w:rFonts w:ascii="DaunPenh" w:hAnsi="DaunPenh"/>
        </w:rPr>
      </w:pPr>
      <w:r>
        <w:rPr>
          <w:rFonts w:ascii="DaunPenh" w:hAnsi="DaunPenh" w:hint="cs"/>
          <w:rtl/>
        </w:rPr>
        <w:t>להלן מספר דוגמאות לקשיים שעלו</w:t>
      </w:r>
      <w:r>
        <w:rPr>
          <w:rFonts w:ascii="DaunPenh" w:hAnsi="DaunPenh"/>
        </w:rPr>
        <w:t>:</w:t>
      </w:r>
    </w:p>
    <w:p w14:paraId="51C6B35A" w14:textId="77777777" w:rsidR="00E022D2" w:rsidRDefault="00E022D2" w:rsidP="00E022D2">
      <w:pPr>
        <w:pStyle w:val="ListParagraph"/>
        <w:numPr>
          <w:ilvl w:val="0"/>
          <w:numId w:val="45"/>
        </w:numPr>
        <w:spacing w:line="360" w:lineRule="auto"/>
        <w:rPr>
          <w:rFonts w:ascii="DaunPenh" w:hAnsi="DaunPenh"/>
          <w:sz w:val="24"/>
        </w:rPr>
      </w:pPr>
      <w:r>
        <w:rPr>
          <w:rFonts w:ascii="DaunPenh" w:hAnsi="DaunPenh" w:hint="cs"/>
          <w:sz w:val="24"/>
          <w:rtl/>
        </w:rPr>
        <w:t xml:space="preserve">ישנם מקומות בהם </w:t>
      </w:r>
      <w:r w:rsidRPr="00595BC0">
        <w:rPr>
          <w:rFonts w:ascii="DaunPenh" w:hAnsi="DaunPenh" w:hint="cs"/>
          <w:sz w:val="24"/>
          <w:rtl/>
        </w:rPr>
        <w:t xml:space="preserve"> קיימת חלופה בדמות מתן השירות בקומה התחתונה</w:t>
      </w:r>
      <w:r>
        <w:rPr>
          <w:rFonts w:ascii="DaunPenh" w:hAnsi="DaunPenh" w:hint="cs"/>
          <w:sz w:val="24"/>
          <w:rtl/>
        </w:rPr>
        <w:t>,</w:t>
      </w:r>
      <w:r w:rsidRPr="00595BC0">
        <w:rPr>
          <w:rFonts w:ascii="DaunPenh" w:hAnsi="DaunPenh" w:hint="cs"/>
          <w:sz w:val="24"/>
          <w:rtl/>
        </w:rPr>
        <w:t xml:space="preserve"> אך זו עלולה להיות חלופה בלתי ראויה </w:t>
      </w:r>
      <w:r w:rsidRPr="00595BC0">
        <w:rPr>
          <w:rFonts w:ascii="DaunPenh" w:hAnsi="DaunPenh"/>
          <w:sz w:val="24"/>
          <w:rtl/>
        </w:rPr>
        <w:t>–</w:t>
      </w:r>
      <w:r w:rsidRPr="00595BC0">
        <w:rPr>
          <w:rFonts w:ascii="DaunPenh" w:hAnsi="DaunPenh" w:hint="cs"/>
          <w:sz w:val="24"/>
          <w:rtl/>
        </w:rPr>
        <w:t xml:space="preserve"> נפרדת משאר</w:t>
      </w:r>
      <w:r>
        <w:rPr>
          <w:rFonts w:ascii="DaunPenh" w:hAnsi="DaunPenh" w:hint="cs"/>
          <w:sz w:val="24"/>
          <w:rtl/>
        </w:rPr>
        <w:t xml:space="preserve"> הציבור וכרוכה בבעיות תפעוליות כגון: </w:t>
      </w:r>
      <w:r w:rsidRPr="00595BC0">
        <w:rPr>
          <w:rFonts w:ascii="DaunPenh" w:hAnsi="DaunPenh" w:hint="cs"/>
          <w:sz w:val="24"/>
          <w:rtl/>
        </w:rPr>
        <w:t>חדר נעול, חדר תפוס</w:t>
      </w:r>
      <w:r>
        <w:rPr>
          <w:rFonts w:ascii="DaunPenh" w:hAnsi="DaunPenh" w:hint="cs"/>
          <w:sz w:val="24"/>
          <w:rtl/>
        </w:rPr>
        <w:t xml:space="preserve"> על ידי אדם אחר עם מוגבלות ועוד. </w:t>
      </w:r>
    </w:p>
    <w:p w14:paraId="4EDB7789" w14:textId="77777777" w:rsidR="00E022D2" w:rsidRDefault="00E022D2" w:rsidP="00E022D2">
      <w:pPr>
        <w:pStyle w:val="ListParagraph"/>
        <w:numPr>
          <w:ilvl w:val="0"/>
          <w:numId w:val="45"/>
        </w:numPr>
        <w:spacing w:line="360" w:lineRule="auto"/>
        <w:rPr>
          <w:rFonts w:ascii="DaunPenh" w:hAnsi="DaunPenh"/>
          <w:sz w:val="24"/>
        </w:rPr>
      </w:pPr>
      <w:r>
        <w:rPr>
          <w:rFonts w:ascii="DaunPenh" w:hAnsi="DaunPenh" w:hint="cs"/>
          <w:sz w:val="24"/>
          <w:rtl/>
        </w:rPr>
        <w:t xml:space="preserve">ישנם מקומות ציבוריים בהם אנשים ממתינים זמן רב לקבלת השירות. בחלקם, טרם הונגש בית השימוש. היעדר קיומו של בית שימוש נגיש, פוגע בזכותם של אנשים עם מוגבלות לצרוך שירותים יחד עם כולם. </w:t>
      </w:r>
    </w:p>
    <w:p w14:paraId="54859590" w14:textId="77777777" w:rsidR="00E022D2" w:rsidRDefault="00E022D2" w:rsidP="00E022D2">
      <w:pPr>
        <w:pStyle w:val="ListParagraph"/>
        <w:numPr>
          <w:ilvl w:val="0"/>
          <w:numId w:val="45"/>
        </w:numPr>
        <w:spacing w:line="360" w:lineRule="auto"/>
        <w:rPr>
          <w:rFonts w:ascii="DaunPenh" w:hAnsi="DaunPenh"/>
          <w:sz w:val="24"/>
        </w:rPr>
      </w:pPr>
      <w:r>
        <w:rPr>
          <w:rFonts w:ascii="DaunPenh" w:hAnsi="DaunPenh" w:hint="cs"/>
          <w:sz w:val="24"/>
          <w:rtl/>
        </w:rPr>
        <w:t xml:space="preserve">ישנם מקרים בהם ההתאמות החלופיות לוקות בבעיות טכניות, ובשל כך אינן מספקות מענה הולם עבור אנשים עם מוגבלות בבואם לצרוך שירותים שונים. כך, למשל, תוארו מקרים של מעלונים שהפסיקו לעבוד מסיבות שונות באמצע הדרך.  </w:t>
      </w:r>
    </w:p>
    <w:p w14:paraId="23C7AA81" w14:textId="77777777" w:rsidR="00E022D2" w:rsidRDefault="00E022D2" w:rsidP="00E022D2">
      <w:pPr>
        <w:spacing w:after="120"/>
        <w:rPr>
          <w:rFonts w:ascii="DaunPenh" w:hAnsi="DaunPenh"/>
          <w:rtl/>
        </w:rPr>
      </w:pPr>
    </w:p>
    <w:p w14:paraId="3DE4CDA3" w14:textId="77777777" w:rsidR="00E022D2" w:rsidRDefault="00E022D2" w:rsidP="00E022D2">
      <w:pPr>
        <w:spacing w:after="120"/>
        <w:rPr>
          <w:rFonts w:ascii="DaunPenh" w:hAnsi="DaunPenh"/>
          <w:b/>
          <w:bCs/>
          <w:rtl/>
        </w:rPr>
      </w:pPr>
      <w:r w:rsidRPr="009D7F8D">
        <w:rPr>
          <w:rFonts w:ascii="DaunPenh" w:hAnsi="DaunPenh" w:hint="cs"/>
          <w:b/>
          <w:bCs/>
          <w:rtl/>
        </w:rPr>
        <w:t xml:space="preserve">לאור </w:t>
      </w:r>
      <w:r>
        <w:rPr>
          <w:rFonts w:ascii="DaunPenh" w:hAnsi="DaunPenh" w:hint="cs"/>
          <w:b/>
          <w:bCs/>
          <w:rtl/>
        </w:rPr>
        <w:t>הבעיות שהוצגו בחלק זה,</w:t>
      </w:r>
      <w:r w:rsidRPr="009D7F8D">
        <w:rPr>
          <w:rFonts w:ascii="DaunPenh" w:hAnsi="DaunPenh" w:hint="cs"/>
          <w:b/>
          <w:bCs/>
          <w:rtl/>
        </w:rPr>
        <w:t xml:space="preserve"> הוחלט כי יש לבחון מחדש את ההסדר הקיים, בכדי להביא לאיזון נכון יותר בין זכותם של אנשים עם מוגבלות לצרוך שירותים יחד עם הציבור לבין הנטל שמושת על החייבים</w:t>
      </w:r>
      <w:r>
        <w:rPr>
          <w:rFonts w:ascii="DaunPenh" w:hAnsi="DaunPenh" w:hint="cs"/>
          <w:b/>
          <w:bCs/>
          <w:rtl/>
        </w:rPr>
        <w:t>, ולעיתים על הציבור,</w:t>
      </w:r>
      <w:r w:rsidRPr="009D7F8D">
        <w:rPr>
          <w:rFonts w:ascii="DaunPenh" w:hAnsi="DaunPenh" w:hint="cs"/>
          <w:b/>
          <w:bCs/>
          <w:rtl/>
        </w:rPr>
        <w:t xml:space="preserve"> </w:t>
      </w:r>
      <w:r>
        <w:rPr>
          <w:rFonts w:ascii="DaunPenh" w:hAnsi="DaunPenh" w:hint="cs"/>
          <w:b/>
          <w:bCs/>
          <w:rtl/>
        </w:rPr>
        <w:t xml:space="preserve">מכוח חובת ההנגשה.  </w:t>
      </w:r>
    </w:p>
    <w:p w14:paraId="0DB1B797" w14:textId="77777777" w:rsidR="00E022D2" w:rsidRDefault="00E022D2" w:rsidP="00E022D2">
      <w:pPr>
        <w:spacing w:after="120"/>
        <w:rPr>
          <w:rFonts w:ascii="DaunPenh" w:hAnsi="DaunPenh"/>
          <w:b/>
          <w:bCs/>
          <w:sz w:val="32"/>
          <w:szCs w:val="32"/>
          <w:rtl/>
        </w:rPr>
      </w:pPr>
    </w:p>
    <w:p w14:paraId="75DCD95E" w14:textId="77777777" w:rsidR="00E022D2" w:rsidRDefault="00E022D2" w:rsidP="00E022D2">
      <w:pPr>
        <w:bidi w:val="0"/>
        <w:rPr>
          <w:rFonts w:ascii="DaunPenh" w:hAnsi="DaunPenh"/>
          <w:b/>
          <w:bCs/>
          <w:sz w:val="32"/>
          <w:szCs w:val="32"/>
          <w:rtl/>
        </w:rPr>
      </w:pPr>
      <w:r>
        <w:rPr>
          <w:rFonts w:ascii="DaunPenh" w:hAnsi="DaunPenh"/>
          <w:b/>
          <w:bCs/>
          <w:sz w:val="32"/>
          <w:szCs w:val="32"/>
          <w:rtl/>
        </w:rPr>
        <w:br w:type="page"/>
      </w:r>
    </w:p>
    <w:p w14:paraId="348BF039" w14:textId="77777777" w:rsidR="00E022D2" w:rsidRPr="004F103C" w:rsidRDefault="00E022D2" w:rsidP="00E022D2">
      <w:pPr>
        <w:rPr>
          <w:rFonts w:ascii="DaunPenh" w:hAnsi="DaunPenh"/>
          <w:b/>
          <w:bCs/>
          <w:sz w:val="32"/>
          <w:szCs w:val="32"/>
          <w:rtl/>
        </w:rPr>
      </w:pPr>
      <w:r w:rsidRPr="001C0BC6">
        <w:rPr>
          <w:rFonts w:ascii="DaunPenh" w:hAnsi="DaunPenh" w:hint="cs"/>
          <w:b/>
          <w:bCs/>
          <w:sz w:val="32"/>
          <w:szCs w:val="32"/>
          <w:rtl/>
        </w:rPr>
        <w:lastRenderedPageBreak/>
        <w:t xml:space="preserve">חלק ב </w:t>
      </w:r>
      <w:r w:rsidRPr="001C0BC6">
        <w:rPr>
          <w:rFonts w:ascii="DaunPenh" w:hAnsi="DaunPenh"/>
          <w:b/>
          <w:bCs/>
          <w:sz w:val="32"/>
          <w:szCs w:val="32"/>
          <w:rtl/>
        </w:rPr>
        <w:t>–</w:t>
      </w:r>
      <w:r w:rsidRPr="001C0BC6">
        <w:rPr>
          <w:rFonts w:ascii="DaunPenh" w:hAnsi="DaunPenh" w:hint="cs"/>
          <w:b/>
          <w:bCs/>
          <w:sz w:val="32"/>
          <w:szCs w:val="32"/>
          <w:rtl/>
        </w:rPr>
        <w:t xml:space="preserve"> בחירת תוכן הרגולציה</w:t>
      </w:r>
    </w:p>
    <w:p w14:paraId="778B84F5" w14:textId="77777777" w:rsidR="00E022D2" w:rsidRDefault="00E022D2" w:rsidP="00E022D2">
      <w:pPr>
        <w:rPr>
          <w:rtl/>
        </w:rPr>
      </w:pPr>
      <w:r>
        <w:rPr>
          <w:rFonts w:ascii="DaunPenh" w:hAnsi="DaunPenh" w:hint="cs"/>
          <w:rtl/>
        </w:rPr>
        <w:t xml:space="preserve">חלק זה יתמקד בבחינה מחדש של ההסדר הקיים ביחס לשלוש סוגיות: </w:t>
      </w:r>
    </w:p>
    <w:p w14:paraId="3E78AB6E" w14:textId="77777777" w:rsidR="00E022D2" w:rsidRPr="00376DBA" w:rsidRDefault="00E022D2" w:rsidP="00E022D2">
      <w:pPr>
        <w:pStyle w:val="ListParagraph"/>
        <w:numPr>
          <w:ilvl w:val="0"/>
          <w:numId w:val="46"/>
        </w:numPr>
        <w:spacing w:after="200" w:line="360" w:lineRule="auto"/>
        <w:rPr>
          <w:rFonts w:ascii="DaunPenh" w:hAnsi="DaunPenh"/>
          <w:sz w:val="24"/>
        </w:rPr>
      </w:pPr>
      <w:r w:rsidRPr="00376DBA">
        <w:rPr>
          <w:rFonts w:ascii="DaunPenh" w:hAnsi="DaunPenh" w:hint="cs"/>
          <w:sz w:val="24"/>
          <w:rtl/>
        </w:rPr>
        <w:t>מהו שירות הכרחי - מהו שירות שלגביו יש לחייב נגישות גם במחיר של מעבר מקום</w:t>
      </w:r>
    </w:p>
    <w:p w14:paraId="3655818A" w14:textId="77777777" w:rsidR="00E022D2" w:rsidRPr="00376DBA" w:rsidRDefault="00E022D2" w:rsidP="00E022D2">
      <w:pPr>
        <w:pStyle w:val="ListParagraph"/>
        <w:numPr>
          <w:ilvl w:val="0"/>
          <w:numId w:val="46"/>
        </w:numPr>
        <w:spacing w:after="200" w:line="360" w:lineRule="auto"/>
        <w:rPr>
          <w:rFonts w:ascii="DaunPenh" w:hAnsi="DaunPenh"/>
          <w:sz w:val="24"/>
        </w:rPr>
      </w:pPr>
      <w:r w:rsidRPr="00376DBA">
        <w:rPr>
          <w:rFonts w:ascii="DaunPenh" w:hAnsi="DaunPenh" w:hint="cs"/>
          <w:sz w:val="24"/>
          <w:rtl/>
        </w:rPr>
        <w:t>מהם מרכיבי הנגישות ההכרחיים שבלעדיהם יש לחייב מעבר מקום</w:t>
      </w:r>
    </w:p>
    <w:p w14:paraId="0957582A" w14:textId="77777777" w:rsidR="00E022D2" w:rsidRPr="00F33E86" w:rsidRDefault="00E022D2" w:rsidP="00E022D2">
      <w:pPr>
        <w:pStyle w:val="ListParagraph"/>
        <w:numPr>
          <w:ilvl w:val="0"/>
          <w:numId w:val="46"/>
        </w:numPr>
        <w:spacing w:after="200" w:line="360" w:lineRule="auto"/>
        <w:rPr>
          <w:rFonts w:ascii="DaunPenh" w:hAnsi="DaunPenh"/>
          <w:sz w:val="24"/>
          <w:rtl/>
        </w:rPr>
      </w:pPr>
      <w:r w:rsidRPr="00376DBA">
        <w:rPr>
          <w:rFonts w:ascii="DaunPenh" w:hAnsi="DaunPenh" w:hint="cs"/>
          <w:sz w:val="24"/>
          <w:rtl/>
        </w:rPr>
        <w:t>מהם השיקולים המצדיקים מתן פטור מחובת מעבר מקום</w:t>
      </w:r>
    </w:p>
    <w:p w14:paraId="76DDEC3E" w14:textId="77777777" w:rsidR="00E022D2" w:rsidRDefault="00E022D2" w:rsidP="00E022D2">
      <w:pPr>
        <w:rPr>
          <w:rFonts w:ascii="DaunPenh" w:hAnsi="DaunPenh"/>
          <w:b/>
          <w:bCs/>
          <w:sz w:val="26"/>
          <w:szCs w:val="26"/>
          <w:u w:val="single"/>
          <w:rtl/>
        </w:rPr>
      </w:pPr>
      <w:r w:rsidRPr="00075CDD">
        <w:rPr>
          <w:rFonts w:ascii="DaunPenh" w:hAnsi="DaunPenh" w:hint="cs"/>
          <w:b/>
          <w:bCs/>
          <w:sz w:val="26"/>
          <w:szCs w:val="26"/>
          <w:u w:val="single"/>
          <w:rtl/>
        </w:rPr>
        <w:t>סוגיה מס' 1: שירות הכרחי - מהו שירות שלגביו יש לחייב נגישות גם במחיר של מעבר מקום</w:t>
      </w:r>
    </w:p>
    <w:p w14:paraId="3ABCEE13" w14:textId="77777777" w:rsidR="00E022D2" w:rsidRPr="00B93350" w:rsidRDefault="00E022D2" w:rsidP="00E022D2">
      <w:pPr>
        <w:rPr>
          <w:rFonts w:ascii="DaunPenh" w:hAnsi="DaunPenh"/>
          <w:sz w:val="26"/>
          <w:szCs w:val="26"/>
          <w:rtl/>
        </w:rPr>
      </w:pPr>
      <w:r>
        <w:rPr>
          <w:rFonts w:ascii="DaunPenh" w:hAnsi="DaunPenh" w:hint="cs"/>
          <w:sz w:val="26"/>
          <w:szCs w:val="26"/>
          <w:rtl/>
        </w:rPr>
        <w:t>במסגרת סוגי</w:t>
      </w:r>
      <w:r w:rsidRPr="00B93350">
        <w:rPr>
          <w:rFonts w:ascii="DaunPenh" w:hAnsi="DaunPenh" w:hint="cs"/>
          <w:sz w:val="26"/>
          <w:szCs w:val="26"/>
          <w:rtl/>
        </w:rPr>
        <w:t>ה זו בדקנו מהו שירות שמידת הנחיצות שלו באופן יומיומי עבור אדם עם מוגבלות היא כזו שבגינה לא ניתן לאפשר העדר נגישות.</w:t>
      </w:r>
      <w:r>
        <w:rPr>
          <w:rFonts w:ascii="DaunPenh" w:hAnsi="DaunPenh" w:hint="cs"/>
          <w:sz w:val="26"/>
          <w:szCs w:val="26"/>
          <w:rtl/>
        </w:rPr>
        <w:t xml:space="preserve"> וזאת גם במחיר של הטלת חובה לעבור מקום. במסגרת בחינה זו עמדנו על מהות השירות הניתן בכל אחד מן הגופים המנויים ברשימה.</w:t>
      </w:r>
    </w:p>
    <w:p w14:paraId="7D0629C9" w14:textId="77777777" w:rsidR="00E022D2" w:rsidRPr="00376DBA" w:rsidRDefault="00E022D2" w:rsidP="00E022D2">
      <w:pPr>
        <w:rPr>
          <w:rFonts w:ascii="DaunPenh" w:hAnsi="DaunPenh"/>
          <w:b/>
          <w:bCs/>
          <w:u w:val="single"/>
          <w:rtl/>
        </w:rPr>
      </w:pPr>
      <w:r>
        <w:rPr>
          <w:rFonts w:ascii="DaunPenh" w:hAnsi="DaunPenh" w:hint="cs"/>
          <w:b/>
          <w:bCs/>
          <w:u w:val="single"/>
          <w:rtl/>
        </w:rPr>
        <w:t xml:space="preserve">חלופה 0 - </w:t>
      </w:r>
      <w:r w:rsidRPr="00376DBA">
        <w:rPr>
          <w:rFonts w:ascii="DaunPenh" w:hAnsi="DaunPenh" w:hint="cs"/>
          <w:b/>
          <w:bCs/>
          <w:u w:val="single"/>
          <w:rtl/>
        </w:rPr>
        <w:t xml:space="preserve">תיאור החלופה: </w:t>
      </w:r>
    </w:p>
    <w:p w14:paraId="707E10E2" w14:textId="77777777" w:rsidR="00E022D2" w:rsidRDefault="00E022D2" w:rsidP="00E022D2">
      <w:pPr>
        <w:rPr>
          <w:rFonts w:ascii="DaunPenh" w:hAnsi="DaunPenh"/>
          <w:rtl/>
        </w:rPr>
      </w:pPr>
      <w:r w:rsidRPr="00444000">
        <w:rPr>
          <w:rFonts w:ascii="DaunPenh" w:hAnsi="DaunPenh" w:hint="cs"/>
          <w:rtl/>
        </w:rPr>
        <w:t>לפי חלופה זו תוותר ההגדרה של שירות הכרחי בעינה.</w:t>
      </w:r>
      <w:r>
        <w:rPr>
          <w:rFonts w:ascii="DaunPenh" w:hAnsi="DaunPenh" w:hint="cs"/>
          <w:rtl/>
        </w:rPr>
        <w:t xml:space="preserve"> </w:t>
      </w:r>
    </w:p>
    <w:p w14:paraId="2F5A9A86" w14:textId="77777777" w:rsidR="00E022D2" w:rsidRDefault="00E022D2" w:rsidP="00E022D2">
      <w:pPr>
        <w:rPr>
          <w:rFonts w:ascii="DaunPenh" w:hAnsi="DaunPenh"/>
          <w:rtl/>
        </w:rPr>
      </w:pPr>
      <w:r w:rsidRPr="00075CDD">
        <w:rPr>
          <w:rFonts w:ascii="DaunPenh" w:hAnsi="DaunPenh" w:hint="cs"/>
          <w:u w:val="single"/>
          <w:rtl/>
        </w:rPr>
        <w:t xml:space="preserve">השפעה על </w:t>
      </w:r>
      <w:r>
        <w:rPr>
          <w:rFonts w:ascii="DaunPenh" w:hAnsi="DaunPenh" w:hint="cs"/>
          <w:u w:val="single"/>
          <w:rtl/>
        </w:rPr>
        <w:t>החייבים/ עלות</w:t>
      </w:r>
      <w:r w:rsidRPr="00075CDD">
        <w:rPr>
          <w:rFonts w:ascii="DaunPenh" w:hAnsi="DaunPenh" w:hint="cs"/>
          <w:u w:val="single"/>
          <w:rtl/>
        </w:rPr>
        <w:t>:</w:t>
      </w:r>
      <w:r>
        <w:rPr>
          <w:rFonts w:ascii="DaunPenh" w:hAnsi="DaunPenh" w:hint="cs"/>
          <w:rtl/>
        </w:rPr>
        <w:t xml:space="preserve">  המשמעות היא להחיל את החובה המחמירה של מעבר מקום על רשימת הגופים הנ"ל, לרבות גופים שהשירות שניתן בהם אינו בליבת השירות הציבורי. כמו למשל גופים שהמדינה משתתפת בתקציבם בשיעור של מעל 30%. יתכן שאכיפת החובה הזו תוביל לסגירה של מקומות </w:t>
      </w:r>
      <w:proofErr w:type="spellStart"/>
      <w:r>
        <w:rPr>
          <w:rFonts w:ascii="DaunPenh" w:hAnsi="DaunPenh" w:hint="cs"/>
          <w:rtl/>
        </w:rPr>
        <w:t>מסויימים</w:t>
      </w:r>
      <w:proofErr w:type="spellEnd"/>
      <w:r>
        <w:rPr>
          <w:rFonts w:ascii="DaunPenh" w:hAnsi="DaunPenh" w:hint="cs"/>
          <w:rtl/>
        </w:rPr>
        <w:t>.</w:t>
      </w:r>
    </w:p>
    <w:p w14:paraId="41E6DA3A" w14:textId="77777777" w:rsidR="00E022D2" w:rsidRDefault="00E022D2" w:rsidP="00E022D2">
      <w:pPr>
        <w:rPr>
          <w:rFonts w:ascii="DaunPenh" w:hAnsi="DaunPenh"/>
          <w:u w:val="single"/>
          <w:rtl/>
        </w:rPr>
      </w:pPr>
      <w:r>
        <w:rPr>
          <w:rFonts w:ascii="DaunPenh" w:hAnsi="DaunPenh" w:hint="cs"/>
          <w:u w:val="single"/>
          <w:rtl/>
        </w:rPr>
        <w:t>עלות ממשלתית/ עלויות אכיפה:  אין השפעה על עלויות האכיפה כיוון שזו מתבצעת על שירותים אלו בכל מקרה.</w:t>
      </w:r>
    </w:p>
    <w:p w14:paraId="504EAADA" w14:textId="77777777" w:rsidR="00E022D2" w:rsidRPr="00075CDD" w:rsidRDefault="00E022D2" w:rsidP="00E022D2">
      <w:pPr>
        <w:rPr>
          <w:rFonts w:ascii="DaunPenh" w:hAnsi="DaunPenh"/>
          <w:u w:val="single"/>
        </w:rPr>
      </w:pPr>
      <w:r w:rsidRPr="00075CDD">
        <w:rPr>
          <w:rFonts w:ascii="DaunPenh" w:hAnsi="DaunPenh" w:hint="cs"/>
          <w:u w:val="single"/>
          <w:rtl/>
        </w:rPr>
        <w:t>השפעה על זכויותיהם של אנשים עם מוגבלות</w:t>
      </w:r>
      <w:r w:rsidRPr="00025FE5">
        <w:rPr>
          <w:rFonts w:ascii="DaunPenh" w:hAnsi="DaunPenh" w:hint="cs"/>
          <w:rtl/>
        </w:rPr>
        <w:t xml:space="preserve">: </w:t>
      </w:r>
      <w:r>
        <w:rPr>
          <w:rFonts w:ascii="DaunPenh" w:hAnsi="DaunPenh" w:hint="cs"/>
          <w:rtl/>
        </w:rPr>
        <w:t>לכאורה, חלופה זו מאפשרת לאנשים עם מוגבלות לצרוך שירותים רבים יותר יחד עם שאר הציבור ובכך מקדמת שילוב והשתתפות שוויונית בחברה. עם זאת, יש לשקול את העובדה שההגדרה הקיימת מקיפה גופים שמעבר מקום יטיל עליהם נטל כלכלי גבוה מאוד, אף שבמהותם הם גופים פרטיים שמספקים שירות שאינו שירות "חיוני". טענה זו מתייחסת בעיקר לאותם גופים שנכנסים לתקנה בהיותם נתמכים על ידי המדינה בשיעור שמעל 30% מהתקציב.</w:t>
      </w:r>
    </w:p>
    <w:p w14:paraId="74FD477B" w14:textId="77777777" w:rsidR="00E022D2" w:rsidRPr="00376DBA" w:rsidRDefault="00E022D2" w:rsidP="00E022D2">
      <w:pPr>
        <w:rPr>
          <w:rFonts w:ascii="DaunPenh" w:hAnsi="DaunPenh"/>
          <w:b/>
          <w:bCs/>
          <w:u w:val="single"/>
          <w:rtl/>
        </w:rPr>
      </w:pPr>
      <w:r>
        <w:rPr>
          <w:rFonts w:ascii="DaunPenh" w:hAnsi="DaunPenh" w:hint="cs"/>
          <w:b/>
          <w:bCs/>
          <w:u w:val="single"/>
          <w:rtl/>
        </w:rPr>
        <w:t xml:space="preserve">חלופה 1 - </w:t>
      </w:r>
      <w:r w:rsidRPr="00376DBA">
        <w:rPr>
          <w:rFonts w:ascii="DaunPenh" w:hAnsi="DaunPenh" w:hint="cs"/>
          <w:b/>
          <w:bCs/>
          <w:u w:val="single"/>
          <w:rtl/>
        </w:rPr>
        <w:t xml:space="preserve">תיאור החלופה: </w:t>
      </w:r>
    </w:p>
    <w:p w14:paraId="33AC352B" w14:textId="77777777" w:rsidR="00E022D2" w:rsidRDefault="00E022D2" w:rsidP="00E022D2">
      <w:pPr>
        <w:rPr>
          <w:rFonts w:ascii="DaunPenh" w:hAnsi="DaunPenh"/>
          <w:rtl/>
        </w:rPr>
      </w:pPr>
      <w:r>
        <w:rPr>
          <w:rFonts w:ascii="DaunPenh" w:hAnsi="DaunPenh" w:hint="cs"/>
          <w:rtl/>
        </w:rPr>
        <w:t>לאחר בחינת כל הגופים המנויים ברשימה הקיימת נמצא שברובם ניתן שירות שהוא בליבת השירות הציבורי או חיוני לחיי היומיום.</w:t>
      </w:r>
    </w:p>
    <w:p w14:paraId="70807348" w14:textId="77777777" w:rsidR="00E022D2" w:rsidRDefault="00E022D2" w:rsidP="00E022D2">
      <w:pPr>
        <w:rPr>
          <w:rtl/>
        </w:rPr>
      </w:pPr>
      <w:r>
        <w:rPr>
          <w:rFonts w:ascii="DaunPenh" w:hAnsi="DaunPenh" w:hint="cs"/>
          <w:rtl/>
        </w:rPr>
        <w:t xml:space="preserve">לפי חלופה זו, </w:t>
      </w:r>
      <w:r>
        <w:rPr>
          <w:rFonts w:hint="cs"/>
          <w:rtl/>
        </w:rPr>
        <w:t xml:space="preserve">תצומצם רשימת החייבים במעבר מקום </w:t>
      </w:r>
      <w:r>
        <w:rPr>
          <w:rtl/>
        </w:rPr>
        <w:t>–</w:t>
      </w:r>
      <w:r>
        <w:rPr>
          <w:rFonts w:hint="cs"/>
          <w:rtl/>
        </w:rPr>
        <w:t xml:space="preserve"> יימחקו ממנה גופים</w:t>
      </w:r>
      <w:r w:rsidRPr="005420F6">
        <w:rPr>
          <w:rFonts w:hint="cs"/>
          <w:rtl/>
        </w:rPr>
        <w:t xml:space="preserve"> שהשתתפות המדינה בתקציבם עולה על 30% בממוצע בחמש השנים האחרונות</w:t>
      </w:r>
      <w:r>
        <w:rPr>
          <w:rFonts w:hint="cs"/>
          <w:rtl/>
        </w:rPr>
        <w:t xml:space="preserve">. </w:t>
      </w:r>
    </w:p>
    <w:p w14:paraId="0AD387FF" w14:textId="77777777" w:rsidR="00E022D2" w:rsidRPr="00660886" w:rsidRDefault="00E022D2" w:rsidP="00E022D2">
      <w:pPr>
        <w:rPr>
          <w:rtl/>
        </w:rPr>
      </w:pPr>
      <w:r>
        <w:rPr>
          <w:rFonts w:hint="cs"/>
          <w:rtl/>
        </w:rPr>
        <w:t xml:space="preserve">לגבי יתר הגופים נמצא שסוג השירות שניתן בהם הוא בעל מאפיינים ציבוריים או נחוץ לאנשים עם מוגבלות באופן יומיומי ולכן מחייב נגישות או מעבר מקום. </w:t>
      </w:r>
    </w:p>
    <w:p w14:paraId="7014F842" w14:textId="77777777" w:rsidR="00E022D2" w:rsidRPr="007233D8" w:rsidRDefault="00E022D2" w:rsidP="00E022D2">
      <w:pPr>
        <w:rPr>
          <w:rFonts w:ascii="DaunPenh" w:hAnsi="DaunPenh"/>
          <w:rtl/>
        </w:rPr>
      </w:pPr>
      <w:r w:rsidRPr="00075CDD">
        <w:rPr>
          <w:rFonts w:ascii="DaunPenh" w:hAnsi="DaunPenh" w:hint="cs"/>
          <w:u w:val="single"/>
          <w:rtl/>
        </w:rPr>
        <w:t>השפעה על זכויותיהם של אנשים עם מוגבלות</w:t>
      </w:r>
      <w:r w:rsidRPr="004F103C">
        <w:rPr>
          <w:rFonts w:ascii="DaunPenh" w:hAnsi="DaunPenh" w:hint="cs"/>
          <w:rtl/>
        </w:rPr>
        <w:t>: לגבי אנשים עם מוגבלות בניידות, כל צמצום של רשימת השירותים הנכללים בהגדרה, משמעה פגיעה באפשרות לקבל שירות יחד עם שאר הציבור.</w:t>
      </w:r>
    </w:p>
    <w:p w14:paraId="6F84E5C6" w14:textId="77777777" w:rsidR="00E022D2" w:rsidRPr="00075CDD" w:rsidRDefault="00E022D2" w:rsidP="00E022D2">
      <w:pPr>
        <w:rPr>
          <w:rFonts w:ascii="DaunPenh" w:hAnsi="DaunPenh"/>
          <w:rtl/>
        </w:rPr>
      </w:pPr>
      <w:r w:rsidRPr="00075CDD">
        <w:rPr>
          <w:rFonts w:ascii="DaunPenh" w:hAnsi="DaunPenh" w:hint="cs"/>
          <w:u w:val="single"/>
          <w:rtl/>
        </w:rPr>
        <w:t xml:space="preserve">השפעה על </w:t>
      </w:r>
      <w:r>
        <w:rPr>
          <w:rFonts w:ascii="DaunPenh" w:hAnsi="DaunPenh" w:hint="cs"/>
          <w:u w:val="single"/>
          <w:rtl/>
        </w:rPr>
        <w:t>החייבים/ עלות</w:t>
      </w:r>
      <w:r w:rsidRPr="00075CDD">
        <w:rPr>
          <w:rFonts w:ascii="DaunPenh" w:hAnsi="DaunPenh" w:hint="cs"/>
          <w:u w:val="single"/>
          <w:rtl/>
        </w:rPr>
        <w:t>:</w:t>
      </w:r>
      <w:r>
        <w:rPr>
          <w:rFonts w:ascii="DaunPenh" w:hAnsi="DaunPenh" w:hint="cs"/>
          <w:rtl/>
        </w:rPr>
        <w:t xml:space="preserve"> הקלה על השירותים שמוחרגים מההגדרה. יידרשו </w:t>
      </w:r>
      <w:proofErr w:type="spellStart"/>
      <w:r>
        <w:rPr>
          <w:rFonts w:ascii="DaunPenh" w:hAnsi="DaunPenh" w:hint="cs"/>
          <w:rtl/>
        </w:rPr>
        <w:t>להנגיש</w:t>
      </w:r>
      <w:proofErr w:type="spellEnd"/>
      <w:r>
        <w:rPr>
          <w:rFonts w:ascii="DaunPenh" w:hAnsi="DaunPenh" w:hint="cs"/>
          <w:rtl/>
        </w:rPr>
        <w:t xml:space="preserve"> בהתאם לתקנות בניין קיים ללא החובה לעבור מקום.</w:t>
      </w:r>
      <w:r>
        <w:rPr>
          <w:rFonts w:hint="cs"/>
          <w:rtl/>
        </w:rPr>
        <w:t xml:space="preserve"> ההצדקה למחיקתם היא שהעובדה שאלו גופים נתמכים לא מעידה על כך שבהכרח ניתן בהם שירות שהוא חיוני לציבור.</w:t>
      </w:r>
      <w:r>
        <w:rPr>
          <w:rFonts w:ascii="DaunPenh" w:hAnsi="DaunPenh" w:hint="cs"/>
          <w:rtl/>
        </w:rPr>
        <w:t xml:space="preserve"> כלומר, ייתכן ובקבוצת הארגונים שהשתתפות המדינה בתקציבם עולה על 30%</w:t>
      </w:r>
      <w:r>
        <w:rPr>
          <w:rFonts w:ascii="DaunPenh" w:hAnsi="DaunPenh"/>
        </w:rPr>
        <w:t xml:space="preserve"> </w:t>
      </w:r>
      <w:r>
        <w:rPr>
          <w:rFonts w:ascii="DaunPenh" w:hAnsi="DaunPenh" w:hint="cs"/>
          <w:rtl/>
        </w:rPr>
        <w:t xml:space="preserve">בממוצע, ישנם גופים שכלל לא מספקים שירותים, ואין זה נכון להטיל עליהם חובה זו. </w:t>
      </w:r>
    </w:p>
    <w:p w14:paraId="586FC90D" w14:textId="77777777" w:rsidR="00E022D2" w:rsidRPr="004F103C" w:rsidRDefault="00E022D2" w:rsidP="00E022D2">
      <w:pPr>
        <w:rPr>
          <w:rFonts w:ascii="DaunPenh" w:hAnsi="DaunPenh"/>
        </w:rPr>
      </w:pPr>
      <w:r>
        <w:rPr>
          <w:rFonts w:ascii="DaunPenh" w:hAnsi="DaunPenh" w:hint="cs"/>
          <w:u w:val="single"/>
          <w:rtl/>
        </w:rPr>
        <w:t>עלות ממשלתית/ עלויות אכיפה:</w:t>
      </w:r>
      <w:r w:rsidRPr="004F103C">
        <w:rPr>
          <w:rFonts w:ascii="DaunPenh" w:hAnsi="DaunPenh" w:hint="cs"/>
          <w:rtl/>
        </w:rPr>
        <w:t xml:space="preserve"> אין השפעה על עלויות אכיפה.</w:t>
      </w:r>
    </w:p>
    <w:p w14:paraId="5380D5C2" w14:textId="77777777" w:rsidR="00E022D2" w:rsidRPr="00F318AE" w:rsidRDefault="00E022D2" w:rsidP="00E022D2">
      <w:pPr>
        <w:rPr>
          <w:rFonts w:ascii="DaunPenh" w:hAnsi="DaunPenh"/>
          <w:b/>
          <w:bCs/>
          <w:sz w:val="26"/>
          <w:szCs w:val="26"/>
          <w:rtl/>
        </w:rPr>
      </w:pPr>
      <w:r w:rsidRPr="00F318AE">
        <w:rPr>
          <w:rFonts w:ascii="DaunPenh" w:hAnsi="DaunPenh" w:hint="cs"/>
          <w:b/>
          <w:bCs/>
          <w:sz w:val="26"/>
          <w:szCs w:val="26"/>
          <w:rtl/>
        </w:rPr>
        <w:t xml:space="preserve">נבחרה חלופה 1 </w:t>
      </w:r>
      <w:r w:rsidRPr="00F318AE">
        <w:rPr>
          <w:rFonts w:ascii="DaunPenh" w:hAnsi="DaunPenh"/>
          <w:b/>
          <w:bCs/>
          <w:sz w:val="26"/>
          <w:szCs w:val="26"/>
          <w:rtl/>
        </w:rPr>
        <w:t>–</w:t>
      </w:r>
      <w:r w:rsidRPr="00F318AE">
        <w:rPr>
          <w:rFonts w:ascii="DaunPenh" w:hAnsi="DaunPenh" w:hint="cs"/>
          <w:b/>
          <w:bCs/>
          <w:sz w:val="26"/>
          <w:szCs w:val="26"/>
          <w:rtl/>
        </w:rPr>
        <w:t xml:space="preserve"> צמצום הרשימה כך שלא תכלול את הגופים שמקבלים המדינה השתתפות של </w:t>
      </w:r>
      <w:r w:rsidRPr="00F318AE">
        <w:rPr>
          <w:rFonts w:ascii="DaunPenh" w:hAnsi="DaunPenh" w:hint="cs"/>
          <w:b/>
          <w:bCs/>
          <w:sz w:val="26"/>
          <w:szCs w:val="26"/>
          <w:rtl/>
        </w:rPr>
        <w:lastRenderedPageBreak/>
        <w:t>30% ומעלה מתקציבם.</w:t>
      </w:r>
      <w:r>
        <w:rPr>
          <w:rFonts w:ascii="DaunPenh" w:hAnsi="DaunPenh" w:hint="cs"/>
          <w:b/>
          <w:bCs/>
          <w:sz w:val="26"/>
          <w:szCs w:val="26"/>
          <w:rtl/>
        </w:rPr>
        <w:t xml:space="preserve"> </w:t>
      </w:r>
    </w:p>
    <w:p w14:paraId="10954BBF" w14:textId="77777777" w:rsidR="00E022D2" w:rsidRPr="00075CDD" w:rsidRDefault="00E022D2" w:rsidP="00E022D2">
      <w:pPr>
        <w:rPr>
          <w:rFonts w:ascii="DaunPenh" w:hAnsi="DaunPenh"/>
          <w:b/>
          <w:bCs/>
          <w:sz w:val="26"/>
          <w:szCs w:val="26"/>
          <w:u w:val="single"/>
        </w:rPr>
      </w:pPr>
      <w:r w:rsidRPr="00075CDD">
        <w:rPr>
          <w:rFonts w:ascii="DaunPenh" w:hAnsi="DaunPenh" w:hint="cs"/>
          <w:b/>
          <w:bCs/>
          <w:sz w:val="26"/>
          <w:szCs w:val="26"/>
          <w:u w:val="single"/>
          <w:rtl/>
        </w:rPr>
        <w:t>סוגיה מס' 2: מרכיבי הנגישות ההכרחיים שבלעדיהם יש לחייב מעבר מקום</w:t>
      </w:r>
    </w:p>
    <w:p w14:paraId="4A8790D0" w14:textId="77777777" w:rsidR="00E022D2" w:rsidRPr="005420F6" w:rsidRDefault="00E022D2" w:rsidP="00E022D2">
      <w:pPr>
        <w:rPr>
          <w:rFonts w:ascii="DaunPenh" w:hAnsi="DaunPenh"/>
          <w:b/>
          <w:bCs/>
          <w:u w:val="single"/>
          <w:rtl/>
        </w:rPr>
      </w:pPr>
      <w:r>
        <w:rPr>
          <w:rFonts w:ascii="DaunPenh" w:hAnsi="DaunPenh" w:hint="cs"/>
          <w:b/>
          <w:bCs/>
          <w:u w:val="single"/>
          <w:rtl/>
        </w:rPr>
        <w:t xml:space="preserve">חלופה 0 </w:t>
      </w:r>
      <w:r>
        <w:rPr>
          <w:rFonts w:ascii="DaunPenh" w:hAnsi="DaunPenh"/>
          <w:b/>
          <w:bCs/>
          <w:u w:val="single"/>
          <w:rtl/>
        </w:rPr>
        <w:t>–</w:t>
      </w:r>
      <w:r>
        <w:rPr>
          <w:rFonts w:ascii="DaunPenh" w:hAnsi="DaunPenh" w:hint="cs"/>
          <w:b/>
          <w:bCs/>
          <w:u w:val="single"/>
          <w:rtl/>
        </w:rPr>
        <w:t xml:space="preserve"> תיאור:</w:t>
      </w:r>
    </w:p>
    <w:p w14:paraId="4DCB5EC4" w14:textId="77777777" w:rsidR="00E022D2" w:rsidRDefault="00E022D2" w:rsidP="00E022D2">
      <w:pPr>
        <w:rPr>
          <w:rFonts w:ascii="DaunPenh" w:hAnsi="DaunPenh"/>
          <w:rtl/>
        </w:rPr>
      </w:pPr>
      <w:r w:rsidRPr="00444000">
        <w:rPr>
          <w:rFonts w:ascii="DaunPenh" w:hAnsi="DaunPenh" w:hint="cs"/>
          <w:rtl/>
        </w:rPr>
        <w:t xml:space="preserve">לפי חלופה זו </w:t>
      </w:r>
      <w:r>
        <w:rPr>
          <w:rFonts w:ascii="DaunPenh" w:hAnsi="DaunPenh" w:hint="cs"/>
          <w:rtl/>
        </w:rPr>
        <w:t xml:space="preserve">תיוותר רשימת מרכיבי הנגישות ההכרחיים כפי שהיא. </w:t>
      </w:r>
    </w:p>
    <w:p w14:paraId="0DFF71ED" w14:textId="77777777" w:rsidR="00E022D2" w:rsidRDefault="00E022D2" w:rsidP="00E022D2">
      <w:pPr>
        <w:rPr>
          <w:rFonts w:ascii="DaunPenh" w:hAnsi="DaunPenh"/>
          <w:u w:val="single"/>
          <w:rtl/>
        </w:rPr>
      </w:pPr>
      <w:r w:rsidRPr="00075CDD">
        <w:rPr>
          <w:rFonts w:ascii="DaunPenh" w:hAnsi="DaunPenh" w:hint="cs"/>
          <w:u w:val="single"/>
          <w:rtl/>
        </w:rPr>
        <w:t>השפעה על זכויותיהם של אנשים עם מוגבלות</w:t>
      </w:r>
      <w:r w:rsidRPr="00025FE5">
        <w:rPr>
          <w:rFonts w:ascii="DaunPenh" w:hAnsi="DaunPenh" w:hint="cs"/>
          <w:rtl/>
        </w:rPr>
        <w:t>: לכאורה מדובר בחלופה שמיטיבה עם אנשים עם מוגבלות משום שהיא מבטיחה נגישות מלאה לשירות הכרחי. עם זאת, על סמך השיח עם החייבים נראה שלחלופה זו עלולה להיות השלכה של סגירת המיקום הבלתי נגיש מבלי שיפתח מיקום חלופי. בכל תפגע הנגישות של כלל הציבור ושל אנשים עם מוגבלות לשירות.</w:t>
      </w:r>
    </w:p>
    <w:p w14:paraId="1BC25A15" w14:textId="77777777" w:rsidR="00E022D2" w:rsidRPr="00075CDD" w:rsidRDefault="00E022D2" w:rsidP="00E022D2">
      <w:pPr>
        <w:rPr>
          <w:rFonts w:ascii="DaunPenh" w:hAnsi="DaunPenh"/>
          <w:rtl/>
        </w:rPr>
      </w:pPr>
      <w:r w:rsidRPr="00075CDD">
        <w:rPr>
          <w:rFonts w:ascii="DaunPenh" w:hAnsi="DaunPenh" w:hint="cs"/>
          <w:u w:val="single"/>
          <w:rtl/>
        </w:rPr>
        <w:t xml:space="preserve">השפעה על </w:t>
      </w:r>
      <w:r>
        <w:rPr>
          <w:rFonts w:ascii="DaunPenh" w:hAnsi="DaunPenh" w:hint="cs"/>
          <w:u w:val="single"/>
          <w:rtl/>
        </w:rPr>
        <w:t>החייבים/ עלות</w:t>
      </w:r>
      <w:r w:rsidRPr="00075CDD">
        <w:rPr>
          <w:rFonts w:ascii="DaunPenh" w:hAnsi="DaunPenh" w:hint="cs"/>
          <w:u w:val="single"/>
          <w:rtl/>
        </w:rPr>
        <w:t>:</w:t>
      </w:r>
      <w:r>
        <w:rPr>
          <w:rFonts w:ascii="DaunPenh" w:hAnsi="DaunPenh" w:hint="cs"/>
          <w:rtl/>
        </w:rPr>
        <w:t xml:space="preserve"> כמתואר לעיל, נטל כבד של הנגשה או מעבר מקום.</w:t>
      </w:r>
    </w:p>
    <w:p w14:paraId="0A0687F6" w14:textId="77777777" w:rsidR="00E022D2" w:rsidRPr="00075CDD" w:rsidRDefault="00E022D2" w:rsidP="00E022D2">
      <w:pPr>
        <w:rPr>
          <w:rFonts w:ascii="DaunPenh" w:hAnsi="DaunPenh"/>
          <w:u w:val="single"/>
        </w:rPr>
      </w:pPr>
      <w:r>
        <w:rPr>
          <w:rFonts w:ascii="DaunPenh" w:hAnsi="DaunPenh" w:hint="cs"/>
          <w:u w:val="single"/>
          <w:rtl/>
        </w:rPr>
        <w:t>עלות ממשלתית/ עלויות אכיפה</w:t>
      </w:r>
      <w:r w:rsidRPr="00025FE5">
        <w:rPr>
          <w:rFonts w:ascii="DaunPenh" w:hAnsi="DaunPenh" w:hint="cs"/>
          <w:rtl/>
        </w:rPr>
        <w:t xml:space="preserve">: כיוון שמדובר גם בדיור הממשלתי הרי שהעלות הממשלתית כוללת את החובה לעבור מקום שהוערכה על ידי הדיור הממשלתי כמפורט לעיל. מבחינת עלויות אכיפה אין השפעה על הבחירה בין החלופות. </w:t>
      </w:r>
    </w:p>
    <w:p w14:paraId="379AA1EA" w14:textId="77777777" w:rsidR="00E022D2" w:rsidRPr="005432FA" w:rsidRDefault="00E022D2" w:rsidP="00E022D2">
      <w:pPr>
        <w:rPr>
          <w:rFonts w:ascii="DaunPenh" w:hAnsi="DaunPenh"/>
          <w:b/>
          <w:bCs/>
          <w:u w:val="single"/>
          <w:rtl/>
        </w:rPr>
      </w:pPr>
      <w:r w:rsidRPr="005432FA">
        <w:rPr>
          <w:rFonts w:ascii="DaunPenh" w:hAnsi="DaunPenh" w:hint="cs"/>
          <w:b/>
          <w:bCs/>
          <w:u w:val="single"/>
          <w:rtl/>
        </w:rPr>
        <w:t>חלופה 1</w:t>
      </w:r>
      <w:r>
        <w:rPr>
          <w:rFonts w:ascii="DaunPenh" w:hAnsi="DaunPenh" w:hint="cs"/>
          <w:b/>
          <w:bCs/>
          <w:u w:val="single"/>
          <w:rtl/>
        </w:rPr>
        <w:t>- תיאור:</w:t>
      </w:r>
    </w:p>
    <w:p w14:paraId="424254AA" w14:textId="77777777" w:rsidR="00E022D2" w:rsidRDefault="00E022D2" w:rsidP="00E022D2">
      <w:pPr>
        <w:rPr>
          <w:rFonts w:ascii="DaunPenh" w:hAnsi="DaunPenh"/>
          <w:rtl/>
        </w:rPr>
      </w:pPr>
      <w:r w:rsidRPr="005432FA">
        <w:rPr>
          <w:rFonts w:ascii="DaunPenh" w:hAnsi="DaunPenh" w:hint="cs"/>
          <w:rtl/>
        </w:rPr>
        <w:t>לפי חלופה זו, חניה נגישה</w:t>
      </w:r>
      <w:r>
        <w:rPr>
          <w:rFonts w:ascii="DaunPenh" w:hAnsi="DaunPenh" w:hint="cs"/>
          <w:rtl/>
        </w:rPr>
        <w:t xml:space="preserve"> וחניה לרכב גבוה</w:t>
      </w:r>
      <w:r w:rsidRPr="005432FA">
        <w:rPr>
          <w:rFonts w:ascii="DaunPenh" w:hAnsi="DaunPenh" w:hint="cs"/>
          <w:rtl/>
        </w:rPr>
        <w:t xml:space="preserve"> לא </w:t>
      </w:r>
      <w:r>
        <w:rPr>
          <w:rFonts w:ascii="DaunPenh" w:hAnsi="DaunPenh" w:hint="cs"/>
          <w:rtl/>
        </w:rPr>
        <w:t>יחשבו</w:t>
      </w:r>
      <w:r w:rsidRPr="005432FA">
        <w:rPr>
          <w:rFonts w:ascii="DaunPenh" w:hAnsi="DaunPenh" w:hint="cs"/>
          <w:rtl/>
        </w:rPr>
        <w:t xml:space="preserve"> עוד כמרכיב</w:t>
      </w:r>
      <w:r>
        <w:rPr>
          <w:rFonts w:ascii="DaunPenh" w:hAnsi="DaunPenh" w:hint="cs"/>
          <w:rtl/>
        </w:rPr>
        <w:t>י</w:t>
      </w:r>
      <w:r w:rsidRPr="005432FA">
        <w:rPr>
          <w:rFonts w:ascii="DaunPenh" w:hAnsi="DaunPenh" w:hint="cs"/>
          <w:rtl/>
        </w:rPr>
        <w:t xml:space="preserve"> נגישות הכרח</w:t>
      </w:r>
      <w:r>
        <w:rPr>
          <w:rFonts w:ascii="DaunPenh" w:hAnsi="DaunPenh" w:hint="cs"/>
          <w:rtl/>
        </w:rPr>
        <w:t>י</w:t>
      </w:r>
      <w:r w:rsidRPr="005432FA">
        <w:rPr>
          <w:rFonts w:ascii="DaunPenh" w:hAnsi="DaunPenh" w:hint="cs"/>
          <w:rtl/>
        </w:rPr>
        <w:t>י</w:t>
      </w:r>
      <w:r>
        <w:rPr>
          <w:rFonts w:ascii="DaunPenh" w:hAnsi="DaunPenh" w:hint="cs"/>
          <w:rtl/>
        </w:rPr>
        <w:t>ם</w:t>
      </w:r>
      <w:r w:rsidRPr="005432FA">
        <w:rPr>
          <w:rFonts w:ascii="DaunPenh" w:hAnsi="DaunPenh" w:hint="cs"/>
          <w:rtl/>
        </w:rPr>
        <w:t xml:space="preserve"> שבלעדי</w:t>
      </w:r>
      <w:r>
        <w:rPr>
          <w:rFonts w:ascii="DaunPenh" w:hAnsi="DaunPenh" w:hint="cs"/>
          <w:rtl/>
        </w:rPr>
        <w:t>הם</w:t>
      </w:r>
      <w:r w:rsidRPr="005432FA">
        <w:rPr>
          <w:rFonts w:ascii="DaunPenh" w:hAnsi="DaunPenh" w:hint="cs"/>
          <w:rtl/>
        </w:rPr>
        <w:t xml:space="preserve"> יש לחייב מעבר מקום.</w:t>
      </w:r>
      <w:r>
        <w:rPr>
          <w:rFonts w:ascii="DaunPenh" w:hAnsi="DaunPenh" w:hint="cs"/>
          <w:rtl/>
        </w:rPr>
        <w:t xml:space="preserve"> </w:t>
      </w:r>
    </w:p>
    <w:p w14:paraId="05B6E29D" w14:textId="77777777" w:rsidR="00E022D2" w:rsidRDefault="00E022D2" w:rsidP="00E022D2">
      <w:pPr>
        <w:rPr>
          <w:rFonts w:ascii="DaunPenh" w:hAnsi="DaunPenh"/>
          <w:u w:val="single"/>
          <w:rtl/>
        </w:rPr>
      </w:pPr>
      <w:r w:rsidRPr="00075CDD">
        <w:rPr>
          <w:rFonts w:ascii="DaunPenh" w:hAnsi="DaunPenh" w:hint="cs"/>
          <w:u w:val="single"/>
          <w:rtl/>
        </w:rPr>
        <w:t>השפעה על זכויותיהם של אנשים עם מוגבלות</w:t>
      </w:r>
      <w:r w:rsidRPr="00025FE5">
        <w:rPr>
          <w:rFonts w:ascii="DaunPenh" w:hAnsi="DaunPenh" w:hint="cs"/>
          <w:rtl/>
        </w:rPr>
        <w:t>: ללא חניה נגישה תפחת האפשרות של אנשים עם מוגבלות לצרוך את השירות.</w:t>
      </w:r>
    </w:p>
    <w:p w14:paraId="5420673E" w14:textId="77777777" w:rsidR="00E022D2" w:rsidRDefault="00E022D2" w:rsidP="00E022D2">
      <w:pPr>
        <w:rPr>
          <w:rFonts w:ascii="DaunPenh" w:hAnsi="DaunPenh"/>
          <w:rtl/>
        </w:rPr>
      </w:pPr>
      <w:r w:rsidRPr="00075CDD">
        <w:rPr>
          <w:rFonts w:ascii="DaunPenh" w:hAnsi="DaunPenh" w:hint="cs"/>
          <w:u w:val="single"/>
          <w:rtl/>
        </w:rPr>
        <w:t xml:space="preserve">השפעה על </w:t>
      </w:r>
      <w:r>
        <w:rPr>
          <w:rFonts w:ascii="DaunPenh" w:hAnsi="DaunPenh" w:hint="cs"/>
          <w:u w:val="single"/>
          <w:rtl/>
        </w:rPr>
        <w:t>החייבים/ עלות</w:t>
      </w:r>
      <w:r w:rsidRPr="00075CDD">
        <w:rPr>
          <w:rFonts w:ascii="DaunPenh" w:hAnsi="DaunPenh" w:hint="cs"/>
          <w:u w:val="single"/>
          <w:rtl/>
        </w:rPr>
        <w:t>:</w:t>
      </w:r>
      <w:r>
        <w:rPr>
          <w:rFonts w:ascii="DaunPenh" w:hAnsi="DaunPenh" w:hint="cs"/>
          <w:rtl/>
        </w:rPr>
        <w:t xml:space="preserve"> הקלה משמעותית בנטל ההנגשה ובחובה לעבור מקום. מתוך הנתונים שנמסרו מאיגוד הבנקים, לגבי שטח ממוצע של סניף, מספר הסניפים שבעיית הנגישות בהם היא בהעדר חניה ועלות מעבר סניף לפי מטר </w:t>
      </w:r>
      <w:r>
        <w:rPr>
          <w:rFonts w:ascii="DaunPenh" w:hAnsi="DaunPenh"/>
          <w:rtl/>
        </w:rPr>
        <w:t>–</w:t>
      </w:r>
      <w:r>
        <w:rPr>
          <w:rFonts w:ascii="DaunPenh" w:hAnsi="DaunPenh" w:hint="cs"/>
          <w:rtl/>
        </w:rPr>
        <w:t xml:space="preserve"> ההערכה היא שפוטנציאל החיסכון עבור הבנקים הוא עומד על 115.5 מיליון ₪ לכלל הסניפים שטרם הונגשו ומחויבים נכון להיום במעבר מקום. </w:t>
      </w:r>
    </w:p>
    <w:p w14:paraId="7A2596ED" w14:textId="77777777" w:rsidR="00E022D2" w:rsidRDefault="00E022D2" w:rsidP="00E022D2">
      <w:pPr>
        <w:rPr>
          <w:rFonts w:ascii="DaunPenh" w:hAnsi="DaunPenh"/>
          <w:rtl/>
        </w:rPr>
      </w:pPr>
      <w:r>
        <w:rPr>
          <w:rFonts w:ascii="DaunPenh" w:hAnsi="DaunPenh" w:hint="cs"/>
          <w:rtl/>
        </w:rPr>
        <w:t>מתוך הנתונים שנמסרו מדואר ישראל, לגבי כמות וסוג הנכסים שבעיית הנגישות בהם היא העדר חניה וכן לגבי עלות מעבר לפי כל סוג הנכס (סניף, מרכזי חלוקה, קישוריות), פוטנציאל החיסכון עבור דואר ישראל הוא כ-110,750,000 לכלל הנכסים המחויבים נכון להיום במעבר מקום.</w:t>
      </w:r>
    </w:p>
    <w:p w14:paraId="0F1C0766" w14:textId="77777777" w:rsidR="00E022D2" w:rsidRPr="00075CDD" w:rsidRDefault="00E022D2" w:rsidP="00E022D2">
      <w:pPr>
        <w:rPr>
          <w:rFonts w:ascii="DaunPenh" w:hAnsi="DaunPenh"/>
          <w:u w:val="single"/>
        </w:rPr>
      </w:pPr>
      <w:r>
        <w:rPr>
          <w:rFonts w:ascii="DaunPenh" w:hAnsi="DaunPenh" w:hint="cs"/>
          <w:u w:val="single"/>
          <w:rtl/>
        </w:rPr>
        <w:t>עלות ממשלתית/ עלויות אכיפה</w:t>
      </w:r>
      <w:r w:rsidRPr="00025FE5">
        <w:rPr>
          <w:rFonts w:ascii="DaunPenh" w:hAnsi="DaunPenh" w:hint="cs"/>
          <w:rtl/>
        </w:rPr>
        <w:t>: כמפורט לעיל.</w:t>
      </w:r>
    </w:p>
    <w:p w14:paraId="41548CED" w14:textId="77777777" w:rsidR="00E022D2" w:rsidRDefault="00E022D2" w:rsidP="00E022D2">
      <w:pPr>
        <w:rPr>
          <w:rFonts w:ascii="DaunPenh" w:hAnsi="DaunPenh"/>
          <w:b/>
          <w:bCs/>
          <w:u w:val="single"/>
          <w:rtl/>
        </w:rPr>
      </w:pPr>
      <w:r w:rsidRPr="009F61B6">
        <w:rPr>
          <w:rFonts w:ascii="DaunPenh" w:hAnsi="DaunPenh" w:hint="cs"/>
          <w:b/>
          <w:bCs/>
          <w:u w:val="single"/>
          <w:rtl/>
        </w:rPr>
        <w:t>חלופה 2</w:t>
      </w:r>
      <w:r>
        <w:rPr>
          <w:rFonts w:ascii="DaunPenh" w:hAnsi="DaunPenh" w:hint="cs"/>
          <w:b/>
          <w:bCs/>
          <w:u w:val="single"/>
          <w:rtl/>
        </w:rPr>
        <w:t>- תיאור:</w:t>
      </w:r>
      <w:r w:rsidRPr="009F61B6">
        <w:rPr>
          <w:rFonts w:ascii="DaunPenh" w:hAnsi="DaunPenh" w:hint="cs"/>
          <w:b/>
          <w:bCs/>
          <w:u w:val="single"/>
          <w:rtl/>
        </w:rPr>
        <w:t xml:space="preserve"> </w:t>
      </w:r>
    </w:p>
    <w:p w14:paraId="63AF34C4" w14:textId="77777777" w:rsidR="00E022D2" w:rsidRDefault="00E022D2" w:rsidP="00E022D2">
      <w:pPr>
        <w:rPr>
          <w:rFonts w:ascii="DaunPenh" w:hAnsi="DaunPenh"/>
          <w:rtl/>
        </w:rPr>
      </w:pPr>
      <w:r>
        <w:rPr>
          <w:rFonts w:ascii="DaunPenh" w:hAnsi="DaunPenh" w:hint="cs"/>
          <w:rtl/>
        </w:rPr>
        <w:t xml:space="preserve">חלופה זו זהה לחלופה 2, אך מאפשרת שלא לחייב במעבר מקום, כאשר כלל השירותים מונגשים בקומת הקרקע. </w:t>
      </w:r>
    </w:p>
    <w:p w14:paraId="538826C8" w14:textId="77777777" w:rsidR="00E022D2" w:rsidRDefault="00E022D2" w:rsidP="00E022D2">
      <w:pPr>
        <w:rPr>
          <w:rFonts w:ascii="DaunPenh" w:hAnsi="DaunPenh"/>
          <w:u w:val="single"/>
          <w:rtl/>
        </w:rPr>
      </w:pPr>
      <w:r w:rsidRPr="00075CDD">
        <w:rPr>
          <w:rFonts w:ascii="DaunPenh" w:hAnsi="DaunPenh" w:hint="cs"/>
          <w:u w:val="single"/>
          <w:rtl/>
        </w:rPr>
        <w:t>השפעה על זכויותיהם של אנשים עם מוגבלות</w:t>
      </w:r>
      <w:r w:rsidRPr="00025FE5">
        <w:rPr>
          <w:rFonts w:ascii="DaunPenh" w:hAnsi="DaunPenh" w:hint="cs"/>
          <w:rtl/>
        </w:rPr>
        <w:t xml:space="preserve">: </w:t>
      </w:r>
      <w:r w:rsidRPr="00025FE5">
        <w:rPr>
          <w:rFonts w:ascii="DaunPenh" w:hAnsi="DaunPenh" w:hint="cs"/>
          <w:b/>
          <w:bCs/>
          <w:rtl/>
        </w:rPr>
        <w:t>פגיעה בשוויון</w:t>
      </w:r>
      <w:r>
        <w:rPr>
          <w:rFonts w:ascii="DaunPenh" w:hAnsi="DaunPenh" w:hint="cs"/>
          <w:rtl/>
        </w:rPr>
        <w:t xml:space="preserve"> </w:t>
      </w:r>
      <w:r w:rsidRPr="00025FE5">
        <w:rPr>
          <w:rFonts w:ascii="DaunPenh" w:hAnsi="DaunPenh" w:hint="cs"/>
          <w:b/>
          <w:bCs/>
          <w:rtl/>
        </w:rPr>
        <w:t>ובכבודו של אדם עם מוגבלות</w:t>
      </w:r>
      <w:r w:rsidRPr="00025FE5">
        <w:rPr>
          <w:rFonts w:ascii="DaunPenh" w:hAnsi="DaunPenh" w:hint="cs"/>
          <w:rtl/>
        </w:rPr>
        <w:t xml:space="preserve"> </w:t>
      </w:r>
      <w:r w:rsidRPr="00025FE5">
        <w:rPr>
          <w:rFonts w:ascii="DaunPenh" w:hAnsi="DaunPenh"/>
          <w:rtl/>
        </w:rPr>
        <w:t>–</w:t>
      </w:r>
      <w:r w:rsidRPr="00025FE5">
        <w:rPr>
          <w:rFonts w:ascii="DaunPenh" w:hAnsi="DaunPenh" w:hint="cs"/>
          <w:rtl/>
        </w:rPr>
        <w:t xml:space="preserve"> </w:t>
      </w:r>
      <w:r>
        <w:rPr>
          <w:rFonts w:ascii="DaunPenh" w:hAnsi="DaunPenh" w:hint="cs"/>
          <w:rtl/>
        </w:rPr>
        <w:t>ה</w:t>
      </w:r>
      <w:r w:rsidRPr="00025FE5">
        <w:rPr>
          <w:rFonts w:ascii="DaunPenh" w:hAnsi="DaunPenh" w:hint="cs"/>
          <w:rtl/>
        </w:rPr>
        <w:t xml:space="preserve">שירות יינתן לאדם עם מוגבלות בנפרד משאר הציבור. </w:t>
      </w:r>
      <w:r>
        <w:rPr>
          <w:rFonts w:ascii="DaunPenh" w:hAnsi="DaunPenh" w:hint="cs"/>
          <w:rtl/>
        </w:rPr>
        <w:t>חלופה זו מנוגדת לעקרונות היסוד של חוק שוויון זכויות לאנשים עם מוגבלות הקובעים כי השירות לאדם עם מוגבלות יינתן יחד עם כלל הציבור.</w:t>
      </w:r>
    </w:p>
    <w:p w14:paraId="2944AFDB" w14:textId="77777777" w:rsidR="00E022D2" w:rsidRDefault="00E022D2" w:rsidP="00E022D2">
      <w:pPr>
        <w:rPr>
          <w:rFonts w:ascii="DaunPenh" w:hAnsi="DaunPenh"/>
          <w:rtl/>
        </w:rPr>
      </w:pPr>
      <w:r w:rsidRPr="00075CDD">
        <w:rPr>
          <w:rFonts w:ascii="DaunPenh" w:hAnsi="DaunPenh" w:hint="cs"/>
          <w:u w:val="single"/>
          <w:rtl/>
        </w:rPr>
        <w:t xml:space="preserve">השפעה על </w:t>
      </w:r>
      <w:r>
        <w:rPr>
          <w:rFonts w:ascii="DaunPenh" w:hAnsi="DaunPenh" w:hint="cs"/>
          <w:u w:val="single"/>
          <w:rtl/>
        </w:rPr>
        <w:t>החייבים/ עלות</w:t>
      </w:r>
      <w:r w:rsidRPr="00075CDD">
        <w:rPr>
          <w:rFonts w:ascii="DaunPenh" w:hAnsi="DaunPenh" w:hint="cs"/>
          <w:u w:val="single"/>
          <w:rtl/>
        </w:rPr>
        <w:t>:</w:t>
      </w:r>
      <w:r>
        <w:rPr>
          <w:rFonts w:ascii="DaunPenh" w:hAnsi="DaunPenh" w:hint="cs"/>
          <w:rtl/>
        </w:rPr>
        <w:t xml:space="preserve"> לא נמסרו לנו מהחייבים נתונים בקשר למספר המיקומים שבהם הקושי הוא בהנגשה של הקומה השנייה. הדיור הממשלתי אמרו שמדובר בחלק ניכר מהמקרים ולכן ביטול הדרישה לנגישות של כל מקום שבו ניתן שירות יוביל לחיסכון משמעותי ביותר.</w:t>
      </w:r>
    </w:p>
    <w:p w14:paraId="4B1B3F4C" w14:textId="77777777" w:rsidR="00E022D2" w:rsidRPr="00075CDD" w:rsidRDefault="00E022D2" w:rsidP="00E022D2">
      <w:pPr>
        <w:rPr>
          <w:rFonts w:ascii="DaunPenh" w:hAnsi="DaunPenh"/>
          <w:rtl/>
        </w:rPr>
      </w:pPr>
      <w:r>
        <w:rPr>
          <w:rFonts w:ascii="DaunPenh" w:hAnsi="DaunPenh" w:hint="cs"/>
          <w:rtl/>
        </w:rPr>
        <w:t>לא קיבלנו נתונים.</w:t>
      </w:r>
    </w:p>
    <w:p w14:paraId="6F581F2C" w14:textId="77777777" w:rsidR="00E022D2" w:rsidRPr="00075CDD" w:rsidRDefault="00E022D2" w:rsidP="00E022D2">
      <w:pPr>
        <w:rPr>
          <w:rFonts w:ascii="DaunPenh" w:hAnsi="DaunPenh"/>
          <w:u w:val="single"/>
        </w:rPr>
      </w:pPr>
      <w:r>
        <w:rPr>
          <w:rFonts w:ascii="DaunPenh" w:hAnsi="DaunPenh" w:hint="cs"/>
          <w:u w:val="single"/>
          <w:rtl/>
        </w:rPr>
        <w:t>עלות ממשלתית/ עלויות אכיפה</w:t>
      </w:r>
      <w:r w:rsidRPr="00B63FDE">
        <w:rPr>
          <w:rFonts w:ascii="DaunPenh" w:hAnsi="DaunPenh" w:hint="cs"/>
          <w:rtl/>
        </w:rPr>
        <w:t>: כנ"ל</w:t>
      </w:r>
    </w:p>
    <w:p w14:paraId="22B0CFA6" w14:textId="77777777" w:rsidR="00E022D2" w:rsidRPr="00F318AE" w:rsidRDefault="00E022D2" w:rsidP="00E022D2">
      <w:pPr>
        <w:rPr>
          <w:rFonts w:ascii="DaunPenh" w:hAnsi="DaunPenh"/>
          <w:b/>
          <w:bCs/>
          <w:sz w:val="26"/>
          <w:szCs w:val="26"/>
          <w:rtl/>
        </w:rPr>
      </w:pPr>
      <w:r w:rsidRPr="00F318AE">
        <w:rPr>
          <w:rFonts w:ascii="DaunPenh" w:hAnsi="DaunPenh" w:hint="cs"/>
          <w:b/>
          <w:bCs/>
          <w:sz w:val="26"/>
          <w:szCs w:val="26"/>
          <w:rtl/>
        </w:rPr>
        <w:t xml:space="preserve">נבחרה חלופה 1 </w:t>
      </w:r>
      <w:r w:rsidRPr="00F318AE">
        <w:rPr>
          <w:rFonts w:ascii="DaunPenh" w:hAnsi="DaunPenh"/>
          <w:b/>
          <w:bCs/>
          <w:sz w:val="26"/>
          <w:szCs w:val="26"/>
          <w:rtl/>
        </w:rPr>
        <w:t>–</w:t>
      </w:r>
      <w:r w:rsidRPr="00F318AE">
        <w:rPr>
          <w:rFonts w:ascii="DaunPenh" w:hAnsi="DaunPenh" w:hint="cs"/>
          <w:b/>
          <w:bCs/>
          <w:sz w:val="26"/>
          <w:szCs w:val="26"/>
          <w:rtl/>
        </w:rPr>
        <w:t xml:space="preserve"> צמצום הדרישה לכך שחייבת להיות דרך נגישה לכל מקום בו ניתן שירות, וחייב להיות בית שימוש נגיש אם עומד בית שימוש לרשות כלל הציבור.</w:t>
      </w:r>
    </w:p>
    <w:p w14:paraId="741AE619" w14:textId="77777777" w:rsidR="00E022D2" w:rsidRPr="00075CDD" w:rsidRDefault="00E022D2" w:rsidP="00E022D2">
      <w:pPr>
        <w:rPr>
          <w:rFonts w:ascii="DaunPenh" w:hAnsi="DaunPenh"/>
          <w:b/>
          <w:bCs/>
          <w:sz w:val="26"/>
          <w:szCs w:val="26"/>
          <w:u w:val="single"/>
          <w:rtl/>
        </w:rPr>
      </w:pPr>
      <w:r w:rsidRPr="00075CDD">
        <w:rPr>
          <w:rFonts w:ascii="DaunPenh" w:hAnsi="DaunPenh" w:hint="cs"/>
          <w:b/>
          <w:bCs/>
          <w:sz w:val="26"/>
          <w:szCs w:val="26"/>
          <w:u w:val="single"/>
          <w:rtl/>
        </w:rPr>
        <w:lastRenderedPageBreak/>
        <w:t>סוגיה מס' 3: מהם השיקולים המצדיקים מתן פטור מחובת מעבר מקום</w:t>
      </w:r>
    </w:p>
    <w:p w14:paraId="46FA4245" w14:textId="77777777" w:rsidR="00E022D2" w:rsidRPr="004F103C" w:rsidRDefault="00E022D2" w:rsidP="00E022D2">
      <w:pPr>
        <w:rPr>
          <w:rFonts w:ascii="DaunPenh" w:hAnsi="DaunPenh"/>
          <w:b/>
          <w:bCs/>
          <w:u w:val="single"/>
          <w:rtl/>
        </w:rPr>
      </w:pPr>
      <w:r w:rsidRPr="004F103C">
        <w:rPr>
          <w:rFonts w:ascii="DaunPenh" w:hAnsi="DaunPenh" w:hint="cs"/>
          <w:b/>
          <w:bCs/>
          <w:u w:val="single"/>
          <w:rtl/>
        </w:rPr>
        <w:t>חלופה 0- תיאור:</w:t>
      </w:r>
    </w:p>
    <w:p w14:paraId="09CD2E35" w14:textId="77777777" w:rsidR="00E022D2" w:rsidRDefault="00E022D2" w:rsidP="00E022D2">
      <w:pPr>
        <w:rPr>
          <w:rFonts w:ascii="DaunPenh" w:hAnsi="DaunPenh"/>
          <w:rtl/>
        </w:rPr>
      </w:pPr>
      <w:r>
        <w:rPr>
          <w:rFonts w:ascii="DaunPenh" w:hAnsi="DaunPenh" w:hint="cs"/>
          <w:rtl/>
        </w:rPr>
        <w:t xml:space="preserve">לפי חלופה זו, אם לא ניתן לספק את ההנגשה על פי הסטנדרטים שהוצגו, תחול חובה לעבור מקום ולא יינתן פטור בשום מקרה. </w:t>
      </w:r>
    </w:p>
    <w:p w14:paraId="1F725244" w14:textId="77777777" w:rsidR="00E022D2" w:rsidRDefault="00E022D2" w:rsidP="00E022D2">
      <w:pPr>
        <w:rPr>
          <w:rFonts w:ascii="DaunPenh" w:hAnsi="DaunPenh"/>
          <w:u w:val="single"/>
          <w:rtl/>
        </w:rPr>
      </w:pPr>
      <w:r w:rsidRPr="00075CDD">
        <w:rPr>
          <w:rFonts w:ascii="DaunPenh" w:hAnsi="DaunPenh" w:hint="cs"/>
          <w:u w:val="single"/>
          <w:rtl/>
        </w:rPr>
        <w:t>השפעה על זכויותיהם של אנשים עם מוגבלות:</w:t>
      </w:r>
      <w:r w:rsidRPr="00AF270B">
        <w:rPr>
          <w:rFonts w:ascii="DaunPenh" w:hAnsi="DaunPenh" w:hint="cs"/>
          <w:rtl/>
        </w:rPr>
        <w:t xml:space="preserve"> כמפורט לעיל, על פניו מדובר בהגנה על הנגישות אך תיתכן השלכה שלילית בדמות סגירת שירותים לכלל הציבור</w:t>
      </w:r>
      <w:r>
        <w:rPr>
          <w:rFonts w:ascii="DaunPenh" w:hAnsi="DaunPenh" w:hint="cs"/>
          <w:rtl/>
        </w:rPr>
        <w:t>.</w:t>
      </w:r>
    </w:p>
    <w:p w14:paraId="7FCAB837" w14:textId="77777777" w:rsidR="00E022D2" w:rsidRPr="00075CDD" w:rsidRDefault="00E022D2" w:rsidP="00E022D2">
      <w:pPr>
        <w:rPr>
          <w:rFonts w:ascii="DaunPenh" w:hAnsi="DaunPenh"/>
          <w:rtl/>
        </w:rPr>
      </w:pPr>
      <w:r w:rsidRPr="00075CDD">
        <w:rPr>
          <w:rFonts w:ascii="DaunPenh" w:hAnsi="DaunPenh" w:hint="cs"/>
          <w:u w:val="single"/>
          <w:rtl/>
        </w:rPr>
        <w:t xml:space="preserve">השפעה על </w:t>
      </w:r>
      <w:r>
        <w:rPr>
          <w:rFonts w:ascii="DaunPenh" w:hAnsi="DaunPenh" w:hint="cs"/>
          <w:u w:val="single"/>
          <w:rtl/>
        </w:rPr>
        <w:t>החייבים/ עלות</w:t>
      </w:r>
      <w:r w:rsidRPr="00075CDD">
        <w:rPr>
          <w:rFonts w:ascii="DaunPenh" w:hAnsi="DaunPenh" w:hint="cs"/>
          <w:u w:val="single"/>
          <w:rtl/>
        </w:rPr>
        <w:t>:</w:t>
      </w:r>
      <w:r>
        <w:rPr>
          <w:rFonts w:ascii="DaunPenh" w:hAnsi="DaunPenh" w:hint="cs"/>
          <w:rtl/>
        </w:rPr>
        <w:t xml:space="preserve"> על פי הנתונים שמסרו החייבים, מדובר בעלות של עשרות מיליוני שקלים. </w:t>
      </w:r>
    </w:p>
    <w:p w14:paraId="1F0A1B0E" w14:textId="77777777" w:rsidR="00E022D2" w:rsidRPr="00AF270B" w:rsidRDefault="00E022D2" w:rsidP="00E022D2">
      <w:pPr>
        <w:rPr>
          <w:rFonts w:ascii="DaunPenh" w:hAnsi="DaunPenh"/>
        </w:rPr>
      </w:pPr>
      <w:r>
        <w:rPr>
          <w:rFonts w:ascii="DaunPenh" w:hAnsi="DaunPenh" w:hint="cs"/>
          <w:u w:val="single"/>
          <w:rtl/>
        </w:rPr>
        <w:t>עלות ממשלתית/ עלויות אכיפה:</w:t>
      </w:r>
      <w:r w:rsidRPr="00AF270B">
        <w:rPr>
          <w:rFonts w:ascii="DaunPenh" w:hAnsi="DaunPenh" w:hint="cs"/>
          <w:rtl/>
        </w:rPr>
        <w:t xml:space="preserve"> כנ"ל</w:t>
      </w:r>
    </w:p>
    <w:p w14:paraId="61BCB257" w14:textId="77777777" w:rsidR="00E022D2" w:rsidRPr="004F103C" w:rsidRDefault="00E022D2" w:rsidP="00E022D2">
      <w:pPr>
        <w:rPr>
          <w:rFonts w:ascii="DaunPenh" w:hAnsi="DaunPenh"/>
          <w:b/>
          <w:bCs/>
          <w:u w:val="single"/>
          <w:rtl/>
        </w:rPr>
      </w:pPr>
      <w:r w:rsidRPr="004F103C">
        <w:rPr>
          <w:rFonts w:ascii="DaunPenh" w:hAnsi="DaunPenh" w:hint="cs"/>
          <w:b/>
          <w:bCs/>
          <w:u w:val="single"/>
          <w:rtl/>
        </w:rPr>
        <w:t xml:space="preserve">חלופה 1 </w:t>
      </w:r>
      <w:r w:rsidRPr="004F103C">
        <w:rPr>
          <w:rFonts w:ascii="DaunPenh" w:hAnsi="DaunPenh"/>
          <w:b/>
          <w:bCs/>
          <w:u w:val="single"/>
          <w:rtl/>
        </w:rPr>
        <w:t>–</w:t>
      </w:r>
      <w:r w:rsidRPr="004F103C">
        <w:rPr>
          <w:rFonts w:ascii="DaunPenh" w:hAnsi="DaunPenh" w:hint="cs"/>
          <w:b/>
          <w:bCs/>
          <w:u w:val="single"/>
          <w:rtl/>
        </w:rPr>
        <w:t xml:space="preserve"> תיאור:</w:t>
      </w:r>
    </w:p>
    <w:p w14:paraId="1F128DAC" w14:textId="77777777" w:rsidR="00E022D2" w:rsidRPr="00AF270B" w:rsidRDefault="00E022D2" w:rsidP="00E022D2">
      <w:pPr>
        <w:rPr>
          <w:rFonts w:ascii="DaunPenh" w:hAnsi="DaunPenh"/>
          <w:rtl/>
        </w:rPr>
      </w:pPr>
      <w:r w:rsidRPr="00AF270B">
        <w:rPr>
          <w:rFonts w:ascii="DaunPenh" w:hAnsi="DaunPenh" w:hint="cs"/>
          <w:rtl/>
        </w:rPr>
        <w:t>לפי חלופה זו, תהיה אפשרות להגיש בקשה לפטור ממעבר מקום. הנציב יוכל לתת אישור לא לעבור מקום אם השתכנע בשני היבטים: א. שיש לכך הצדקה מיוחדת בהתחשב בשורה של שיקולים; ו-ב. שהחייב נערך לתת שירות הולם ומכבד לאדם עם מוגבלות.</w:t>
      </w:r>
    </w:p>
    <w:p w14:paraId="25D1BFB3" w14:textId="77777777" w:rsidR="00E022D2" w:rsidRPr="009F61B6" w:rsidRDefault="00E022D2" w:rsidP="00E022D2">
      <w:pPr>
        <w:rPr>
          <w:rFonts w:ascii="DaunPenh" w:hAnsi="DaunPenh"/>
          <w:rtl/>
        </w:rPr>
      </w:pPr>
      <w:r>
        <w:rPr>
          <w:rFonts w:ascii="DaunPenh" w:hAnsi="DaunPenh" w:hint="cs"/>
          <w:u w:val="single"/>
          <w:rtl/>
        </w:rPr>
        <w:t>השיקולים הבאים יובאו בחשבון בבחינת בקשה לקבלת פטור</w:t>
      </w:r>
      <w:r>
        <w:rPr>
          <w:rFonts w:ascii="DaunPenh" w:hAnsi="DaunPenh" w:hint="cs"/>
          <w:rtl/>
        </w:rPr>
        <w:t xml:space="preserve">: </w:t>
      </w:r>
    </w:p>
    <w:p w14:paraId="7AB4030D" w14:textId="77777777" w:rsidR="00E022D2" w:rsidRDefault="00E022D2" w:rsidP="00E022D2">
      <w:pPr>
        <w:pStyle w:val="ListParagraph"/>
        <w:numPr>
          <w:ilvl w:val="0"/>
          <w:numId w:val="48"/>
        </w:numPr>
        <w:spacing w:after="200" w:line="360" w:lineRule="auto"/>
        <w:rPr>
          <w:rFonts w:ascii="DaunPenh" w:hAnsi="DaunPenh"/>
          <w:sz w:val="24"/>
        </w:rPr>
      </w:pPr>
      <w:r>
        <w:rPr>
          <w:rFonts w:ascii="DaunPenh" w:hAnsi="DaunPenh" w:hint="cs"/>
          <w:sz w:val="24"/>
          <w:rtl/>
        </w:rPr>
        <w:t>קיומו של סניף קרוב שניתן לקבל בו בדיוק את אותו השירות.</w:t>
      </w:r>
    </w:p>
    <w:p w14:paraId="66E5FF6F" w14:textId="77777777" w:rsidR="00E022D2" w:rsidRDefault="00E022D2" w:rsidP="00E022D2">
      <w:pPr>
        <w:pStyle w:val="ListParagraph"/>
        <w:numPr>
          <w:ilvl w:val="0"/>
          <w:numId w:val="48"/>
        </w:numPr>
        <w:spacing w:after="200" w:line="360" w:lineRule="auto"/>
        <w:rPr>
          <w:rFonts w:ascii="DaunPenh" w:hAnsi="DaunPenh"/>
          <w:sz w:val="24"/>
        </w:rPr>
      </w:pPr>
      <w:r>
        <w:rPr>
          <w:rFonts w:ascii="DaunPenh" w:hAnsi="DaunPenh" w:hint="cs"/>
          <w:sz w:val="24"/>
          <w:rtl/>
        </w:rPr>
        <w:t xml:space="preserve">סוג השירות והיקף השירות </w:t>
      </w:r>
      <w:r>
        <w:rPr>
          <w:rFonts w:ascii="DaunPenh" w:hAnsi="DaunPenh"/>
          <w:sz w:val="24"/>
          <w:rtl/>
        </w:rPr>
        <w:t>–</w:t>
      </w:r>
      <w:r>
        <w:rPr>
          <w:rFonts w:ascii="DaunPenh" w:hAnsi="DaunPenh" w:hint="cs"/>
          <w:sz w:val="24"/>
          <w:rtl/>
        </w:rPr>
        <w:t xml:space="preserve"> כמה אנשים צורכים את השירות.</w:t>
      </w:r>
    </w:p>
    <w:p w14:paraId="20852CF4" w14:textId="77777777" w:rsidR="00E022D2" w:rsidRDefault="00E022D2" w:rsidP="00E022D2">
      <w:pPr>
        <w:pStyle w:val="ListParagraph"/>
        <w:numPr>
          <w:ilvl w:val="0"/>
          <w:numId w:val="48"/>
        </w:numPr>
        <w:spacing w:after="200" w:line="360" w:lineRule="auto"/>
        <w:rPr>
          <w:rFonts w:ascii="DaunPenh" w:hAnsi="DaunPenh"/>
          <w:sz w:val="24"/>
        </w:rPr>
      </w:pPr>
      <w:r w:rsidRPr="00F81C15">
        <w:rPr>
          <w:rFonts w:ascii="DaunPenh" w:hAnsi="DaunPenh" w:hint="cs"/>
          <w:sz w:val="24"/>
          <w:rtl/>
        </w:rPr>
        <w:t xml:space="preserve">השפעת הפסקת השירות במקום הנוכחי על </w:t>
      </w:r>
      <w:r w:rsidRPr="00F81C15">
        <w:rPr>
          <w:rFonts w:ascii="DaunPenh" w:hAnsi="DaunPenh"/>
          <w:sz w:val="24"/>
          <w:rtl/>
        </w:rPr>
        <w:t xml:space="preserve">זמינות </w:t>
      </w:r>
      <w:r w:rsidRPr="00F81C15">
        <w:rPr>
          <w:rFonts w:ascii="DaunPenh" w:hAnsi="DaunPenh" w:hint="cs"/>
          <w:sz w:val="24"/>
          <w:rtl/>
        </w:rPr>
        <w:t>ו</w:t>
      </w:r>
      <w:r w:rsidRPr="00F81C15">
        <w:rPr>
          <w:rFonts w:ascii="DaunPenh" w:hAnsi="DaunPenh"/>
          <w:sz w:val="24"/>
          <w:rtl/>
        </w:rPr>
        <w:t>איכות השירות לציבור;</w:t>
      </w:r>
    </w:p>
    <w:p w14:paraId="301A4823" w14:textId="77777777" w:rsidR="00E022D2" w:rsidRDefault="00E022D2" w:rsidP="00E022D2">
      <w:pPr>
        <w:pStyle w:val="ListParagraph"/>
        <w:numPr>
          <w:ilvl w:val="0"/>
          <w:numId w:val="48"/>
        </w:numPr>
        <w:spacing w:after="200" w:line="360" w:lineRule="auto"/>
        <w:rPr>
          <w:rFonts w:ascii="DaunPenh" w:hAnsi="DaunPenh"/>
          <w:sz w:val="24"/>
        </w:rPr>
      </w:pPr>
      <w:r w:rsidRPr="00F81C15">
        <w:rPr>
          <w:rFonts w:ascii="DaunPenh" w:hAnsi="DaunPenh" w:hint="cs"/>
          <w:sz w:val="24"/>
          <w:rtl/>
        </w:rPr>
        <w:t xml:space="preserve">קיומה של תכנית להעברת </w:t>
      </w:r>
      <w:r w:rsidRPr="00F81C15">
        <w:rPr>
          <w:rFonts w:ascii="DaunPenh" w:hAnsi="DaunPenh"/>
          <w:sz w:val="24"/>
          <w:rtl/>
        </w:rPr>
        <w:t>השירות ל</w:t>
      </w:r>
      <w:r w:rsidRPr="00F81C15">
        <w:rPr>
          <w:rFonts w:ascii="DaunPenh" w:hAnsi="DaunPenh" w:hint="cs"/>
          <w:sz w:val="24"/>
          <w:rtl/>
        </w:rPr>
        <w:t xml:space="preserve">בניין נגיש כאמור בסעיף 86א(ב)(1) בתוך פרק זמן </w:t>
      </w:r>
      <w:r>
        <w:rPr>
          <w:rFonts w:ascii="DaunPenh" w:hAnsi="DaunPenh" w:hint="cs"/>
          <w:sz w:val="24"/>
          <w:rtl/>
        </w:rPr>
        <w:t>של שנים ספורות</w:t>
      </w:r>
      <w:r w:rsidRPr="00F81C15">
        <w:rPr>
          <w:rFonts w:ascii="DaunPenh" w:hAnsi="DaunPenh" w:hint="cs"/>
          <w:sz w:val="24"/>
          <w:rtl/>
        </w:rPr>
        <w:t>.</w:t>
      </w:r>
    </w:p>
    <w:p w14:paraId="7B4E22BB" w14:textId="77777777" w:rsidR="00E022D2" w:rsidRDefault="00E022D2" w:rsidP="00E022D2">
      <w:pPr>
        <w:rPr>
          <w:rFonts w:ascii="DaunPenh" w:hAnsi="DaunPenh"/>
          <w:rtl/>
        </w:rPr>
      </w:pPr>
      <w:r>
        <w:rPr>
          <w:rFonts w:ascii="DaunPenh" w:hAnsi="DaunPenh" w:hint="cs"/>
          <w:rtl/>
        </w:rPr>
        <w:t>בין החלופות שחייבים הציגו כאפשרות למתן שירות נשמעו ההצעות לספק לאדם שירות בביתו, לספק את השירות בקומה הראשונה. חלופות אלו ייבחנו בהקשר הפרטני של כל שירות.</w:t>
      </w:r>
    </w:p>
    <w:p w14:paraId="7F974CBA" w14:textId="77777777" w:rsidR="00E022D2" w:rsidRDefault="00E022D2" w:rsidP="00E022D2">
      <w:pPr>
        <w:rPr>
          <w:rFonts w:ascii="DaunPenh" w:hAnsi="DaunPenh"/>
          <w:rtl/>
        </w:rPr>
      </w:pPr>
      <w:r w:rsidRPr="00DB6E41">
        <w:rPr>
          <w:rFonts w:ascii="DaunPenh" w:hAnsi="DaunPenh" w:hint="cs"/>
          <w:rtl/>
        </w:rPr>
        <w:t>בקשה שלא לעבור מקום תוגש לנציבות בהתאם לטופס שבו יפורטו השירותים הניתנים במקום, ההצדקה לכך שאין לחייב מעבר וכן האמצעים שיינקטו כדי להבטיח מתן שירות הולם ומכבד לאדם עם מוגבלות.</w:t>
      </w:r>
    </w:p>
    <w:p w14:paraId="6A6771E1" w14:textId="77777777" w:rsidR="00E022D2" w:rsidRPr="00DB6E41" w:rsidRDefault="00E022D2" w:rsidP="00E022D2">
      <w:pPr>
        <w:rPr>
          <w:rFonts w:ascii="DaunPenh" w:hAnsi="DaunPenh"/>
          <w:rtl/>
        </w:rPr>
      </w:pPr>
      <w:r>
        <w:rPr>
          <w:rFonts w:ascii="DaunPenh" w:hAnsi="DaunPenh" w:hint="cs"/>
          <w:rtl/>
        </w:rPr>
        <w:t>הבקשה תוגש באמצעות טופס שייכלל בתקנות. בנציבות, הבקשה תיבחן בשיתוף המחלקה המשפטית ומחלקת נגישות ותובא להחלטת הנציב או מישהו מעובדיו שימונה לכך. ברגע שהוגשה בקשה, ועד לקבלת תשובה מהנציבות אין הכרח לעבור מקום.</w:t>
      </w:r>
    </w:p>
    <w:p w14:paraId="1D88BDC0" w14:textId="77777777" w:rsidR="00E022D2" w:rsidRDefault="00E022D2" w:rsidP="00E022D2">
      <w:pPr>
        <w:rPr>
          <w:rFonts w:ascii="DaunPenh" w:hAnsi="DaunPenh"/>
          <w:u w:val="single"/>
          <w:rtl/>
        </w:rPr>
      </w:pPr>
      <w:r>
        <w:rPr>
          <w:rFonts w:ascii="DaunPenh" w:hAnsi="DaunPenh" w:hint="cs"/>
          <w:u w:val="single"/>
          <w:rtl/>
        </w:rPr>
        <w:t>השפעה על זכויות אנשים עם מוגבלות:</w:t>
      </w:r>
      <w:r w:rsidRPr="004F103C">
        <w:rPr>
          <w:rFonts w:ascii="DaunPenh" w:hAnsi="DaunPenh" w:hint="cs"/>
          <w:rtl/>
        </w:rPr>
        <w:t xml:space="preserve"> לכאורה חלופה זו מצמצמת את הזכות לקבלת שירות נגיש ולכן פוגעת באנשים עם מוגבלות (בניידות בעיקר). עם זאת, בהנחה שהפטור יינתן במשורה ורק כאשר קיימת חלופה נגישה הולמת אזי מדובר בפגיעה מינימאלית כאשר לצידה יש תועלת לכלל הציבור ובתוכו אנשים עם מוגבלות בכך שפריסת השירותים תישמר.</w:t>
      </w:r>
    </w:p>
    <w:p w14:paraId="21E42FA4" w14:textId="77777777" w:rsidR="00E022D2" w:rsidRDefault="00E022D2" w:rsidP="00E022D2">
      <w:pPr>
        <w:rPr>
          <w:rFonts w:ascii="DaunPenh" w:hAnsi="DaunPenh"/>
          <w:rtl/>
        </w:rPr>
      </w:pPr>
      <w:r w:rsidRPr="004F103C">
        <w:rPr>
          <w:rFonts w:ascii="DaunPenh" w:hAnsi="DaunPenh" w:hint="cs"/>
          <w:u w:val="single"/>
          <w:rtl/>
        </w:rPr>
        <w:t>השפעה על החייבים/ עלות:</w:t>
      </w:r>
      <w:r w:rsidRPr="004F103C">
        <w:rPr>
          <w:rFonts w:ascii="DaunPenh" w:hAnsi="DaunPenh" w:hint="cs"/>
          <w:rtl/>
        </w:rPr>
        <w:t xml:space="preserve"> מחד, תיחסך העלות המשמעותית של מעבר מקום (לא ניתן להעריך באיזה מספר מבנים מדובר נוכח החוסר בנתונים מצד הרשויות המקומיות. ככל הנראה מדובר בעשרות מבנים שיימצאו מתאימים לפטור). המשמעות היא חסכון של עשרות</w:t>
      </w:r>
      <w:r w:rsidRPr="004F103C">
        <w:rPr>
          <w:rFonts w:ascii="DaunPenh" w:hAnsi="DaunPenh"/>
          <w:rtl/>
        </w:rPr>
        <w:t xml:space="preserve"> </w:t>
      </w:r>
      <w:r w:rsidRPr="004F103C">
        <w:rPr>
          <w:rFonts w:ascii="DaunPenh" w:hAnsi="DaunPenh" w:hint="cs"/>
          <w:rtl/>
        </w:rPr>
        <w:t>מיליוני</w:t>
      </w:r>
      <w:r w:rsidRPr="004F103C">
        <w:rPr>
          <w:rFonts w:ascii="DaunPenh" w:hAnsi="DaunPenh"/>
          <w:rtl/>
        </w:rPr>
        <w:t xml:space="preserve"> </w:t>
      </w:r>
      <w:r w:rsidRPr="004F103C">
        <w:rPr>
          <w:rFonts w:ascii="DaunPenh" w:hAnsi="DaunPenh" w:hint="cs"/>
          <w:rtl/>
        </w:rPr>
        <w:t>שקלים</w:t>
      </w:r>
      <w:r w:rsidRPr="004F103C">
        <w:rPr>
          <w:rFonts w:ascii="DaunPenh" w:hAnsi="DaunPenh"/>
          <w:rtl/>
        </w:rPr>
        <w:t>.</w:t>
      </w:r>
      <w:r w:rsidRPr="004F103C">
        <w:rPr>
          <w:rFonts w:ascii="DaunPenh" w:hAnsi="DaunPenh" w:hint="cs"/>
          <w:rtl/>
        </w:rPr>
        <w:t xml:space="preserve"> מצד שני, החלופה מחייבת בהגשת בקשה לאישור הנציבות. החייב במעבר מקום יצטרך למלא טופס שבו יפורטו: סוג השירות הספציפי, בעיית הנגישות שקיימת באותו בניין, ההצדקות שבשלהן הוא סבור שאין לחייב במעבר מקום והפתרונות שהוא מציע לאדם עם מוגבלות כחלופה להנגשה. ניתן להעריך שהכנת הבקשה תדרוש עד יום עבודה מהגורם המבקש וכן חוות דעת של מורשה נגישות. לאחר מכן הגורם המבקש ימתין מספר שבועות לתשובת הנציבות. מרגע שנעשתה הפנייה לנציבות המבקש לא צריך לעבור מקום עד לקבלת מענה.</w:t>
      </w:r>
      <w:r>
        <w:rPr>
          <w:rFonts w:ascii="DaunPenh" w:hAnsi="DaunPenh" w:hint="cs"/>
          <w:rtl/>
        </w:rPr>
        <w:t xml:space="preserve"> </w:t>
      </w:r>
    </w:p>
    <w:p w14:paraId="4A046598" w14:textId="77777777" w:rsidR="00E022D2" w:rsidRPr="001633A8" w:rsidRDefault="00E022D2" w:rsidP="00E022D2">
      <w:pPr>
        <w:rPr>
          <w:rFonts w:ascii="Arial" w:eastAsia="Times New Roman" w:hAnsi="Arial" w:cs="Arial"/>
          <w:color w:val="000000"/>
          <w:rtl/>
        </w:rPr>
      </w:pPr>
      <w:r>
        <w:rPr>
          <w:rFonts w:ascii="DaunPenh" w:hAnsi="DaunPenh" w:hint="cs"/>
          <w:rtl/>
        </w:rPr>
        <w:t xml:space="preserve">ההנחה היא שהגשת בקשה לפטור תעלה 2,250 ₪. בהנחה שיוגשו כ-250 בקשות, העלות השנתית למשק </w:t>
      </w:r>
      <w:r>
        <w:rPr>
          <w:rFonts w:ascii="DaunPenh" w:hAnsi="DaunPenh" w:hint="cs"/>
          <w:rtl/>
        </w:rPr>
        <w:lastRenderedPageBreak/>
        <w:t xml:space="preserve">צפויה לעמוד על 563,100 </w:t>
      </w:r>
      <w:r w:rsidRPr="004F103C">
        <w:rPr>
          <w:rFonts w:ascii="DaunPenh" w:hAnsi="DaunPenh" w:hint="cs"/>
          <w:rtl/>
        </w:rPr>
        <w:t>₪. כמו כן, יש להניח כי המבקש יצטרך להמתין כ-30 יום עד לקבלת תשובה.</w:t>
      </w:r>
      <w:r>
        <w:rPr>
          <w:rFonts w:ascii="Arial" w:eastAsia="Times New Roman" w:hAnsi="Arial" w:cs="Arial" w:hint="cs"/>
          <w:color w:val="000000"/>
          <w:rtl/>
        </w:rPr>
        <w:t xml:space="preserve"> </w:t>
      </w:r>
    </w:p>
    <w:p w14:paraId="25BA48D8" w14:textId="77777777" w:rsidR="00E022D2" w:rsidRDefault="00E022D2" w:rsidP="00E022D2">
      <w:pPr>
        <w:rPr>
          <w:rFonts w:ascii="DaunPenh" w:hAnsi="DaunPenh"/>
          <w:rtl/>
        </w:rPr>
      </w:pPr>
      <w:r>
        <w:rPr>
          <w:rFonts w:ascii="DaunPenh" w:hAnsi="DaunPenh" w:hint="cs"/>
          <w:u w:val="single"/>
          <w:rtl/>
        </w:rPr>
        <w:t>עלות ממשלתית/ עלויות אכיפה:</w:t>
      </w:r>
      <w:r>
        <w:rPr>
          <w:rFonts w:ascii="DaunPenh" w:hAnsi="DaunPenh" w:hint="cs"/>
          <w:rtl/>
        </w:rPr>
        <w:t xml:space="preserve"> סביר להניח שיוגשו מאות בקשות לפטור. כל בקשה תיבחן על ידי גורם משפטי ועל ידי גורם ממחלקת נגישות. בסופו של דבר הבקשה תובא לעיון הנציב (או גורם אחר בנציבות שימונה לכך על ידי הנציב) עם המלצה מקצועית. לכן, בחינת בקשה תדרוש בממוצע יום עבודה.</w:t>
      </w:r>
    </w:p>
    <w:p w14:paraId="76894B06" w14:textId="77777777" w:rsidR="00E022D2" w:rsidRPr="00DB017C" w:rsidRDefault="00E022D2" w:rsidP="00E022D2">
      <w:pPr>
        <w:rPr>
          <w:rFonts w:ascii="DaunPenh" w:hAnsi="DaunPenh"/>
          <w:rtl/>
        </w:rPr>
      </w:pPr>
      <w:r>
        <w:rPr>
          <w:rFonts w:ascii="DaunPenh" w:hAnsi="DaunPenh" w:hint="cs"/>
          <w:rtl/>
        </w:rPr>
        <w:t xml:space="preserve">בהנחה שיוגשו כ-250 בקשות, ההנחה היא שעלות בחינת הבקשות לפטור בממשלה תעמוד על כ-193,000 ₪ בשנה. </w:t>
      </w:r>
    </w:p>
    <w:p w14:paraId="0C102D1A" w14:textId="77777777" w:rsidR="00E022D2" w:rsidRPr="004F103C" w:rsidRDefault="00E022D2" w:rsidP="00E022D2">
      <w:pPr>
        <w:rPr>
          <w:rFonts w:ascii="DaunPenh" w:hAnsi="DaunPenh"/>
          <w:rtl/>
        </w:rPr>
      </w:pPr>
      <w:r>
        <w:rPr>
          <w:rFonts w:ascii="DaunPenh" w:hAnsi="DaunPenh" w:hint="cs"/>
          <w:rtl/>
        </w:rPr>
        <w:t>החלופה הנבחרת היא חלופה מס' 1. חלופה זו מאזנת היטב בין הרצון להקל על החייבים לבין זכותם של אנשים עם מוגבלות לצרוך שירותים באופן שוויוני. היא מאפשרת לחייבים לקבל פטור במקרים ספציפיים שבהם בהם קבלת הפטור עשויה להימצא מוצדקת. לצד זאת לאור דברים שעלו בשיח עם אנשים עם מוגבלות, היא מאפשרת לנציבות לוודא שמתן פטור מחובת מעבר המקום אינו פוגע באפשרות של אדם עם מוגבלות לקבל את השירות באופן הולם</w:t>
      </w:r>
      <w:r w:rsidRPr="00AF270B">
        <w:rPr>
          <w:rFonts w:ascii="DaunPenh" w:hAnsi="DaunPenh" w:hint="cs"/>
          <w:rtl/>
        </w:rPr>
        <w:t xml:space="preserve"> ומכב</w:t>
      </w:r>
      <w:r>
        <w:rPr>
          <w:rFonts w:ascii="DaunPenh" w:hAnsi="DaunPenh" w:hint="cs"/>
          <w:rtl/>
        </w:rPr>
        <w:t xml:space="preserve">ד. </w:t>
      </w:r>
    </w:p>
    <w:p w14:paraId="639F04F3" w14:textId="77777777" w:rsidR="00E022D2" w:rsidRPr="00CC2869" w:rsidRDefault="00E022D2" w:rsidP="00E022D2">
      <w:pPr>
        <w:spacing w:after="120"/>
        <w:rPr>
          <w:rFonts w:ascii="DaunPenh" w:hAnsi="DaunPenh"/>
          <w:highlight w:val="yellow"/>
          <w:rtl/>
        </w:rPr>
      </w:pPr>
      <w:r w:rsidRPr="00CC2869">
        <w:rPr>
          <w:rFonts w:ascii="DaunPenh" w:hAnsi="DaunPenh" w:hint="cs"/>
          <w:b/>
          <w:bCs/>
          <w:sz w:val="32"/>
          <w:szCs w:val="32"/>
          <w:rtl/>
        </w:rPr>
        <w:t xml:space="preserve">נספח </w:t>
      </w:r>
      <w:r w:rsidRPr="00CC2869">
        <w:rPr>
          <w:rFonts w:ascii="DaunPenh" w:hAnsi="DaunPenh"/>
          <w:b/>
          <w:bCs/>
          <w:sz w:val="32"/>
          <w:szCs w:val="32"/>
          <w:rtl/>
        </w:rPr>
        <w:t>–</w:t>
      </w:r>
      <w:r w:rsidRPr="00CC2869">
        <w:rPr>
          <w:rFonts w:ascii="DaunPenh" w:hAnsi="DaunPenh" w:hint="cs"/>
          <w:b/>
          <w:bCs/>
          <w:sz w:val="32"/>
          <w:szCs w:val="32"/>
          <w:rtl/>
        </w:rPr>
        <w:t xml:space="preserve"> מתודולוגיה להכנת הדוח</w:t>
      </w:r>
    </w:p>
    <w:p w14:paraId="668DDB8E" w14:textId="77777777" w:rsidR="00E022D2" w:rsidRDefault="00E022D2" w:rsidP="00E022D2">
      <w:pPr>
        <w:spacing w:after="120"/>
        <w:rPr>
          <w:rFonts w:ascii="DaunPenh" w:hAnsi="DaunPenh"/>
          <w:b/>
          <w:bCs/>
          <w:rtl/>
        </w:rPr>
      </w:pPr>
      <w:r>
        <w:rPr>
          <w:rFonts w:ascii="DaunPenh" w:hAnsi="DaunPenh" w:hint="cs"/>
          <w:b/>
          <w:bCs/>
          <w:rtl/>
        </w:rPr>
        <w:t>תהליך העבודה ארך כשנה וכלל שיח מתמשך עם החייבים. חלק מהם שלחו מכתבים, והתקיימה ישיבה עם איגוד הבנקים. כמו כן, התקיים שולחן עגול בנציבות עם החייבים הגדולים (דיור ממשלתי, רשויות מקומיות, דואר ישראל) ועם ארגונים ואנשים עם מוגבלות.</w:t>
      </w:r>
    </w:p>
    <w:p w14:paraId="6B2CCB66" w14:textId="77777777" w:rsidR="00E022D2" w:rsidRDefault="00E022D2" w:rsidP="00E022D2">
      <w:pPr>
        <w:spacing w:after="120"/>
        <w:rPr>
          <w:rFonts w:ascii="DaunPenh" w:hAnsi="DaunPenh"/>
          <w:b/>
          <w:bCs/>
          <w:rtl/>
        </w:rPr>
      </w:pPr>
      <w:r>
        <w:rPr>
          <w:rFonts w:ascii="DaunPenh" w:hAnsi="DaunPenh" w:hint="cs"/>
          <w:b/>
          <w:bCs/>
          <w:rtl/>
        </w:rPr>
        <w:t>בנוסף, מתקיים שיח שוטף עם הדיור הממשלתי במטרה להגיע לנוסח מוסכם.</w:t>
      </w:r>
    </w:p>
    <w:p w14:paraId="3083E8B7" w14:textId="77777777" w:rsidR="00E022D2" w:rsidRDefault="00E022D2" w:rsidP="00E022D2">
      <w:pPr>
        <w:spacing w:after="120"/>
        <w:rPr>
          <w:rFonts w:ascii="DaunPenh" w:hAnsi="DaunPenh"/>
          <w:b/>
          <w:bCs/>
          <w:rtl/>
        </w:rPr>
      </w:pPr>
      <w:r w:rsidRPr="00F93A59">
        <w:rPr>
          <w:rFonts w:ascii="DaunPenh" w:hAnsi="DaunPenh" w:hint="cs"/>
          <w:b/>
          <w:bCs/>
          <w:rtl/>
        </w:rPr>
        <w:t>במסגרת התהליך, נעשה מאמץ להשיג נתונים מדויקים בנוגע למספר המבנים שטרם הונגשו, ולעלויות ההנגשה הצפויות. חרף מאמצים אלו, היו מקרים בהם לא הושגו הנתונים, אם משום שהחייבים טרם השלימו את הבדיקה, אם מסיבות אחרות.</w:t>
      </w:r>
    </w:p>
    <w:p w14:paraId="4F837418" w14:textId="77777777" w:rsidR="00E022D2" w:rsidRPr="00916D36" w:rsidRDefault="00E022D2" w:rsidP="00E022D2">
      <w:pPr>
        <w:pStyle w:val="ListParagraph"/>
        <w:spacing w:after="120" w:line="360" w:lineRule="auto"/>
        <w:ind w:left="454"/>
        <w:contextualSpacing w:val="0"/>
        <w:rPr>
          <w:rFonts w:ascii="DaunPenh" w:hAnsi="DaunPenh"/>
          <w:sz w:val="24"/>
        </w:rPr>
      </w:pPr>
    </w:p>
    <w:p w14:paraId="263AA49A" w14:textId="77777777" w:rsidR="00E022D2" w:rsidRPr="00E022D2" w:rsidRDefault="00E022D2" w:rsidP="00BE726D">
      <w:pPr>
        <w:pStyle w:val="Hesber1st"/>
      </w:pPr>
    </w:p>
    <w:sectPr w:rsidR="00E022D2" w:rsidRPr="00E022D2" w:rsidSect="00C64225">
      <w:pgSz w:w="11906" w:h="16838"/>
      <w:pgMar w:top="1701" w:right="1134" w:bottom="1417" w:left="1134"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40800" w16cid:durableId="211FBD11"/>
  <w16cid:commentId w16cid:paraId="64CE0ADC" w16cid:durableId="211FD6CE"/>
  <w16cid:commentId w16cid:paraId="27302512" w16cid:durableId="211FC2DB"/>
  <w16cid:commentId w16cid:paraId="3E214198" w16cid:durableId="211FC5A5"/>
  <w16cid:commentId w16cid:paraId="6A2DDE23" w16cid:durableId="211FC29D"/>
  <w16cid:commentId w16cid:paraId="7CC517BC" w16cid:durableId="2120A515"/>
  <w16cid:commentId w16cid:paraId="66389F36" w16cid:durableId="2120A58A"/>
  <w16cid:commentId w16cid:paraId="72939D0C" w16cid:durableId="2120FA9F"/>
  <w16cid:commentId w16cid:paraId="300AEB8F" w16cid:durableId="2120A5F4"/>
  <w16cid:commentId w16cid:paraId="299CA9FC" w16cid:durableId="2120A9F0"/>
  <w16cid:commentId w16cid:paraId="728879A7" w16cid:durableId="2120A952"/>
  <w16cid:commentId w16cid:paraId="74E6E7E5" w16cid:durableId="2120FF65"/>
  <w16cid:commentId w16cid:paraId="1CD79824" w16cid:durableId="2120A835"/>
  <w16cid:commentId w16cid:paraId="441F0817" w16cid:durableId="211FC7F5"/>
  <w16cid:commentId w16cid:paraId="312424ED" w16cid:durableId="2120AAA6"/>
  <w16cid:commentId w16cid:paraId="7865EBDA" w16cid:durableId="211FCA4C"/>
  <w16cid:commentId w16cid:paraId="5B9F4A45" w16cid:durableId="2120AC10"/>
  <w16cid:commentId w16cid:paraId="47994E07" w16cid:durableId="211FCF40"/>
  <w16cid:commentId w16cid:paraId="1321A1D9" w16cid:durableId="211FD168"/>
  <w16cid:commentId w16cid:paraId="07F0CB7F" w16cid:durableId="2120AFB7"/>
  <w16cid:commentId w16cid:paraId="2EB6B3A7" w16cid:durableId="2120B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D854B" w14:textId="77777777" w:rsidR="00F85AA4" w:rsidRDefault="00F85AA4" w:rsidP="00A315D3">
      <w:pPr>
        <w:spacing w:line="240" w:lineRule="auto"/>
      </w:pPr>
      <w:r>
        <w:separator/>
      </w:r>
    </w:p>
  </w:endnote>
  <w:endnote w:type="continuationSeparator" w:id="0">
    <w:p w14:paraId="7956C27C" w14:textId="77777777" w:rsidR="00F85AA4" w:rsidRDefault="00F85AA4" w:rsidP="00A3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FDC0" w14:textId="77777777" w:rsidR="00F85AA4" w:rsidRDefault="00F85AA4" w:rsidP="00A315D3">
      <w:pPr>
        <w:spacing w:line="240" w:lineRule="auto"/>
      </w:pPr>
      <w:r>
        <w:separator/>
      </w:r>
    </w:p>
  </w:footnote>
  <w:footnote w:type="continuationSeparator" w:id="0">
    <w:p w14:paraId="2A53E7DE" w14:textId="77777777" w:rsidR="00F85AA4" w:rsidRDefault="00F85AA4" w:rsidP="00A315D3">
      <w:pPr>
        <w:spacing w:line="240" w:lineRule="auto"/>
      </w:pPr>
      <w:r>
        <w:continuationSeparator/>
      </w:r>
    </w:p>
  </w:footnote>
  <w:footnote w:id="1">
    <w:p w14:paraId="7F2BDA8F" w14:textId="77777777" w:rsidR="00026299" w:rsidRDefault="00026299" w:rsidP="00A315D3">
      <w:pPr>
        <w:pStyle w:val="FootnoteText"/>
      </w:pPr>
      <w:r>
        <w:rPr>
          <w:rStyle w:val="FootnoteReference"/>
        </w:rPr>
        <w:footnoteRef/>
      </w:r>
      <w:r>
        <w:rPr>
          <w:rtl/>
        </w:rPr>
        <w:t xml:space="preserve"> </w:t>
      </w:r>
      <w:r w:rsidRPr="00EA6227">
        <w:rPr>
          <w:rtl/>
        </w:rPr>
        <w:t xml:space="preserve">ס"ח </w:t>
      </w:r>
      <w:proofErr w:type="spellStart"/>
      <w:r w:rsidRPr="00EA6227">
        <w:rPr>
          <w:rtl/>
        </w:rPr>
        <w:t>התשנ"ח</w:t>
      </w:r>
      <w:proofErr w:type="spellEnd"/>
      <w:r w:rsidRPr="00EA6227">
        <w:rPr>
          <w:rtl/>
        </w:rPr>
        <w:t xml:space="preserve">, עמ' 152 </w:t>
      </w:r>
      <w:r w:rsidRPr="00FF302A">
        <w:rPr>
          <w:rtl/>
        </w:rPr>
        <w:t xml:space="preserve">; ס"ח </w:t>
      </w:r>
      <w:proofErr w:type="spellStart"/>
      <w:r w:rsidRPr="00FF302A">
        <w:rPr>
          <w:rtl/>
        </w:rPr>
        <w:t>התשס"ח</w:t>
      </w:r>
      <w:proofErr w:type="spellEnd"/>
      <w:r w:rsidRPr="00FF302A">
        <w:rPr>
          <w:rtl/>
        </w:rPr>
        <w:t xml:space="preserve"> עמ' 729</w:t>
      </w:r>
      <w:r w:rsidRPr="00FF302A">
        <w:rPr>
          <w:rFonts w:hint="cs"/>
          <w:rtl/>
        </w:rPr>
        <w:t>.</w:t>
      </w:r>
    </w:p>
  </w:footnote>
  <w:footnote w:id="2">
    <w:p w14:paraId="506CA492" w14:textId="77777777" w:rsidR="00026299" w:rsidRDefault="00026299" w:rsidP="00402EE1">
      <w:pPr>
        <w:pStyle w:val="FootnoteText"/>
        <w:rPr>
          <w:rtl/>
        </w:rPr>
      </w:pPr>
      <w:r>
        <w:rPr>
          <w:rStyle w:val="FootnoteReference"/>
        </w:rPr>
        <w:footnoteRef/>
      </w:r>
      <w:r>
        <w:rPr>
          <w:rtl/>
        </w:rPr>
        <w:t xml:space="preserve"> </w:t>
      </w:r>
      <w:r w:rsidRPr="00402EE1">
        <w:rPr>
          <w:rFonts w:hint="cs"/>
        </w:rPr>
        <w:t> </w:t>
      </w:r>
      <w:hyperlink r:id="rId1" w:history="1">
        <w:r w:rsidRPr="00402EE1">
          <w:rPr>
            <w:rStyle w:val="Hyperlink"/>
            <w:rFonts w:hint="cs"/>
            <w:color w:val="auto"/>
            <w:u w:val="none"/>
            <w:rtl/>
          </w:rPr>
          <w:t xml:space="preserve">ס"ח </w:t>
        </w:r>
        <w:proofErr w:type="spellStart"/>
        <w:r w:rsidRPr="00402EE1">
          <w:rPr>
            <w:rStyle w:val="Hyperlink"/>
            <w:rFonts w:hint="cs"/>
            <w:color w:val="auto"/>
            <w:u w:val="none"/>
            <w:rtl/>
          </w:rPr>
          <w:t>התשנ"ה</w:t>
        </w:r>
        <w:proofErr w:type="spellEnd"/>
      </w:hyperlink>
      <w:r w:rsidRPr="00402EE1">
        <w:rPr>
          <w:rFonts w:hint="cs"/>
          <w:rtl/>
        </w:rPr>
        <w:t>,  עמ' 210</w:t>
      </w:r>
      <w:r>
        <w:rPr>
          <w:rFonts w:hint="cs"/>
          <w:rtl/>
        </w:rPr>
        <w:t>.</w:t>
      </w:r>
    </w:p>
  </w:footnote>
  <w:footnote w:id="3">
    <w:p w14:paraId="72F2625B" w14:textId="77777777" w:rsidR="00026299" w:rsidRDefault="00026299">
      <w:pPr>
        <w:pStyle w:val="FootnoteText"/>
        <w:rPr>
          <w:rtl/>
        </w:rPr>
      </w:pPr>
      <w:r>
        <w:rPr>
          <w:rStyle w:val="FootnoteReference"/>
        </w:rPr>
        <w:footnoteRef/>
      </w:r>
      <w:r>
        <w:rPr>
          <w:rtl/>
        </w:rPr>
        <w:t xml:space="preserve"> </w:t>
      </w:r>
      <w:r>
        <w:rPr>
          <w:rFonts w:hint="cs"/>
          <w:rtl/>
        </w:rPr>
        <w:t>ס"ח תשי"ט, עמ' 276.</w:t>
      </w:r>
    </w:p>
  </w:footnote>
  <w:footnote w:id="4">
    <w:p w14:paraId="3BB70C50" w14:textId="77777777" w:rsidR="0047350C" w:rsidRDefault="0047350C" w:rsidP="0047350C">
      <w:pPr>
        <w:pStyle w:val="FootnoteText"/>
      </w:pPr>
      <w:r>
        <w:rPr>
          <w:rStyle w:val="FootnoteReference"/>
        </w:rPr>
        <w:footnoteRef/>
      </w:r>
      <w:r>
        <w:rPr>
          <w:rtl/>
        </w:rPr>
        <w:t xml:space="preserve"> </w:t>
      </w:r>
      <w:proofErr w:type="spellStart"/>
      <w:r>
        <w:rPr>
          <w:rFonts w:hint="cs"/>
          <w:rtl/>
        </w:rPr>
        <w:t>ק"ת</w:t>
      </w:r>
      <w:proofErr w:type="spellEnd"/>
      <w:r>
        <w:rPr>
          <w:rFonts w:hint="cs"/>
          <w:rtl/>
        </w:rPr>
        <w:t xml:space="preserve"> תשי"ד, עמ' 500.</w:t>
      </w:r>
    </w:p>
  </w:footnote>
  <w:footnote w:id="5">
    <w:p w14:paraId="786029C2" w14:textId="77777777" w:rsidR="0047350C" w:rsidRDefault="0047350C" w:rsidP="0047350C">
      <w:pPr>
        <w:pStyle w:val="FootnoteText"/>
        <w:rPr>
          <w:rtl/>
        </w:rPr>
      </w:pPr>
      <w:r>
        <w:rPr>
          <w:rStyle w:val="FootnoteReference"/>
        </w:rPr>
        <w:footnoteRef/>
      </w:r>
      <w:r>
        <w:rPr>
          <w:rtl/>
        </w:rPr>
        <w:t xml:space="preserve"> </w:t>
      </w:r>
      <w:proofErr w:type="spellStart"/>
      <w:r>
        <w:rPr>
          <w:rFonts w:hint="cs"/>
          <w:rtl/>
        </w:rPr>
        <w:t>ק"ת</w:t>
      </w:r>
      <w:proofErr w:type="spellEnd"/>
      <w:r>
        <w:rPr>
          <w:rFonts w:hint="cs"/>
          <w:rtl/>
        </w:rPr>
        <w:t xml:space="preserve"> תשכ"ו, עמ' 296.</w:t>
      </w:r>
    </w:p>
  </w:footnote>
  <w:footnote w:id="6">
    <w:p w14:paraId="57B43DC9" w14:textId="77777777" w:rsidR="00026299" w:rsidRDefault="00026299">
      <w:pPr>
        <w:pStyle w:val="FootnoteText"/>
      </w:pPr>
      <w:r>
        <w:rPr>
          <w:rStyle w:val="FootnoteReference"/>
        </w:rPr>
        <w:footnoteRef/>
      </w:r>
      <w:r>
        <w:rPr>
          <w:rtl/>
        </w:rPr>
        <w:t xml:space="preserve"> </w:t>
      </w:r>
      <w:r>
        <w:rPr>
          <w:rFonts w:hint="cs"/>
          <w:rtl/>
        </w:rPr>
        <w:t>ס"ח תשי"ז, עמ' 163.</w:t>
      </w:r>
    </w:p>
  </w:footnote>
  <w:footnote w:id="7">
    <w:p w14:paraId="38B32442" w14:textId="77777777" w:rsidR="00026299" w:rsidRDefault="00026299">
      <w:pPr>
        <w:pStyle w:val="FootnoteText"/>
      </w:pPr>
      <w:r>
        <w:rPr>
          <w:rStyle w:val="FootnoteReference"/>
        </w:rPr>
        <w:footnoteRef/>
      </w:r>
      <w:r>
        <w:rPr>
          <w:rtl/>
        </w:rPr>
        <w:t xml:space="preserve"> </w:t>
      </w:r>
      <w:r>
        <w:rPr>
          <w:rFonts w:hint="cs"/>
          <w:rtl/>
        </w:rPr>
        <w:t xml:space="preserve">ס"ח </w:t>
      </w:r>
      <w:proofErr w:type="spellStart"/>
      <w:r>
        <w:rPr>
          <w:rFonts w:hint="cs"/>
          <w:rtl/>
        </w:rPr>
        <w:t>התשי"ד</w:t>
      </w:r>
      <w:proofErr w:type="spellEnd"/>
      <w:r>
        <w:rPr>
          <w:rFonts w:hint="cs"/>
          <w:rtl/>
        </w:rPr>
        <w:t>, עמ' 76.</w:t>
      </w:r>
    </w:p>
  </w:footnote>
  <w:footnote w:id="8">
    <w:p w14:paraId="1ACD631E" w14:textId="77777777" w:rsidR="00026299" w:rsidRDefault="00026299" w:rsidP="00CC292D">
      <w:pPr>
        <w:pStyle w:val="FootnoteText"/>
        <w:rPr>
          <w:rtl/>
        </w:rPr>
      </w:pPr>
      <w:r>
        <w:rPr>
          <w:rStyle w:val="FootnoteReference"/>
        </w:rPr>
        <w:footnoteRef/>
      </w:r>
      <w:r>
        <w:rPr>
          <w:rtl/>
        </w:rPr>
        <w:t xml:space="preserve"> </w:t>
      </w:r>
      <w:bookmarkStart w:id="30" w:name="_Toc355087331"/>
      <w:bookmarkStart w:id="31" w:name="_Toc355088895"/>
      <w:bookmarkStart w:id="32" w:name="_Toc355114067"/>
      <w:bookmarkStart w:id="33" w:name="_Toc368939836"/>
      <w:bookmarkStart w:id="34" w:name="_Toc497046276"/>
      <w:bookmarkStart w:id="35" w:name="_Toc498275494"/>
      <w:bookmarkStart w:id="36" w:name="_Toc498275835"/>
      <w:r w:rsidRPr="00CF4831">
        <w:rPr>
          <w:rtl/>
        </w:rPr>
        <w:t xml:space="preserve">תקנות שוויון זכויות לאנשים עם מוגבלות (התאמות נגישות </w:t>
      </w:r>
      <w:r>
        <w:rPr>
          <w:rFonts w:hint="cs"/>
          <w:rtl/>
        </w:rPr>
        <w:t>לשירות</w:t>
      </w:r>
      <w:r w:rsidRPr="00CF4831">
        <w:rPr>
          <w:rtl/>
        </w:rPr>
        <w:t>), תשע"</w:t>
      </w:r>
      <w:r>
        <w:rPr>
          <w:rFonts w:hint="cs"/>
          <w:rtl/>
        </w:rPr>
        <w:t>ג</w:t>
      </w:r>
      <w:r w:rsidRPr="00CF4831">
        <w:rPr>
          <w:rtl/>
        </w:rPr>
        <w:t>-201</w:t>
      </w:r>
      <w:r>
        <w:rPr>
          <w:rFonts w:hint="cs"/>
          <w:rtl/>
        </w:rPr>
        <w:t>3</w:t>
      </w:r>
      <w:bookmarkEnd w:id="30"/>
      <w:bookmarkEnd w:id="31"/>
      <w:bookmarkEnd w:id="32"/>
      <w:bookmarkEnd w:id="33"/>
      <w:bookmarkEnd w:id="34"/>
      <w:bookmarkEnd w:id="35"/>
      <w:bookmarkEnd w:id="36"/>
    </w:p>
  </w:footnote>
  <w:footnote w:id="9">
    <w:p w14:paraId="54603AAF" w14:textId="77777777" w:rsidR="00026299" w:rsidRDefault="00026299" w:rsidP="00CC292D">
      <w:pPr>
        <w:pStyle w:val="FootnoteText"/>
        <w:rPr>
          <w:rtl/>
        </w:rPr>
      </w:pPr>
      <w:r>
        <w:rPr>
          <w:rStyle w:val="FootnoteReference"/>
        </w:rPr>
        <w:footnoteRef/>
      </w:r>
      <w:r>
        <w:rPr>
          <w:rtl/>
        </w:rPr>
        <w:t xml:space="preserve"> </w:t>
      </w:r>
      <w:bookmarkStart w:id="37" w:name="_Toc321217890"/>
      <w:r w:rsidRPr="00CF4831">
        <w:rPr>
          <w:rtl/>
        </w:rPr>
        <w:t>תקנות שוויון זכויות לאנשים עם מוגבלות (התאמות נגישות למקום ציבורי שהוא בניין קיים), תשע"ב-2011</w:t>
      </w:r>
      <w:bookmarkEnd w:id="37"/>
    </w:p>
  </w:footnote>
  <w:footnote w:id="10">
    <w:p w14:paraId="01099EBB" w14:textId="77777777" w:rsidR="00E022D2" w:rsidRDefault="00E022D2" w:rsidP="00E022D2">
      <w:pPr>
        <w:pStyle w:val="FootnoteText"/>
        <w:rPr>
          <w:rtl/>
        </w:rPr>
      </w:pPr>
      <w:r>
        <w:rPr>
          <w:rStyle w:val="FootnoteReference"/>
        </w:rPr>
        <w:footnoteRef/>
      </w:r>
      <w:r>
        <w:rPr>
          <w:rtl/>
        </w:rPr>
        <w:t xml:space="preserve"> </w:t>
      </w:r>
      <w:r>
        <w:rPr>
          <w:rFonts w:hint="cs"/>
          <w:rtl/>
        </w:rPr>
        <w:t xml:space="preserve">נתונים אלו נתונים מבוססים על מדגם שכלל כ-1100 מבנים, ולפיכך מהווים הערכה בלבד.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C00C2"/>
    <w:multiLevelType w:val="hybridMultilevel"/>
    <w:tmpl w:val="80F2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F7F9F"/>
    <w:multiLevelType w:val="hybridMultilevel"/>
    <w:tmpl w:val="DF02F4A4"/>
    <w:lvl w:ilvl="0" w:tplc="C53894D2">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774F7"/>
    <w:multiLevelType w:val="multilevel"/>
    <w:tmpl w:val="FAF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9C5AA3"/>
    <w:multiLevelType w:val="hybridMultilevel"/>
    <w:tmpl w:val="E0AA6C50"/>
    <w:lvl w:ilvl="0" w:tplc="194AAF9C">
      <w:start w:val="1"/>
      <w:numFmt w:val="hebrew1"/>
      <w:lvlRestart w:val="0"/>
      <w:lvlText w:val="(%1)"/>
      <w:lvlJc w:val="left"/>
      <w:pPr>
        <w:tabs>
          <w:tab w:val="num" w:pos="623"/>
        </w:tabs>
        <w:ind w:left="-1" w:firstLine="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15:restartNumberingAfterBreak="0">
    <w:nsid w:val="150D4E00"/>
    <w:multiLevelType w:val="hybridMultilevel"/>
    <w:tmpl w:val="17768118"/>
    <w:lvl w:ilvl="0" w:tplc="DF6CB944">
      <w:start w:val="1"/>
      <w:numFmt w:val="hebrew1"/>
      <w:lvlText w:val="%1."/>
      <w:lvlJc w:val="left"/>
      <w:pPr>
        <w:ind w:left="720" w:hanging="360"/>
      </w:pPr>
      <w:rPr>
        <w:rFonts w:ascii="DaunPenh" w:eastAsiaTheme="minorHAnsi" w:hAnsi="DaunPenh"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1909364C"/>
    <w:multiLevelType w:val="hybridMultilevel"/>
    <w:tmpl w:val="6B2C0AC4"/>
    <w:lvl w:ilvl="0" w:tplc="3BFE03E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E52C9"/>
    <w:multiLevelType w:val="hybridMultilevel"/>
    <w:tmpl w:val="922E932A"/>
    <w:lvl w:ilvl="0" w:tplc="DEF018B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F7114D"/>
    <w:multiLevelType w:val="hybridMultilevel"/>
    <w:tmpl w:val="C58E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174AE"/>
    <w:multiLevelType w:val="hybridMultilevel"/>
    <w:tmpl w:val="DE4CA0DA"/>
    <w:lvl w:ilvl="0" w:tplc="C3BA638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5476B2"/>
    <w:multiLevelType w:val="hybridMultilevel"/>
    <w:tmpl w:val="C5F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8446B"/>
    <w:multiLevelType w:val="hybridMultilevel"/>
    <w:tmpl w:val="DE46A492"/>
    <w:lvl w:ilvl="0" w:tplc="1D56D8F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727B54"/>
    <w:multiLevelType w:val="hybridMultilevel"/>
    <w:tmpl w:val="0C48A84A"/>
    <w:lvl w:ilvl="0" w:tplc="784EA6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028EA"/>
    <w:multiLevelType w:val="hybridMultilevel"/>
    <w:tmpl w:val="CE925052"/>
    <w:lvl w:ilvl="0" w:tplc="0712979C">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CB1AFF"/>
    <w:multiLevelType w:val="hybridMultilevel"/>
    <w:tmpl w:val="6A46643A"/>
    <w:lvl w:ilvl="0" w:tplc="194AAF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A3580"/>
    <w:multiLevelType w:val="hybridMultilevel"/>
    <w:tmpl w:val="6088AE0E"/>
    <w:lvl w:ilvl="0" w:tplc="5E74F3A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E3F97"/>
    <w:multiLevelType w:val="hybridMultilevel"/>
    <w:tmpl w:val="53A42532"/>
    <w:lvl w:ilvl="0" w:tplc="2E5256EE">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8" w15:restartNumberingAfterBreak="0">
    <w:nsid w:val="46B54C2E"/>
    <w:multiLevelType w:val="hybridMultilevel"/>
    <w:tmpl w:val="947CE7FA"/>
    <w:lvl w:ilvl="0" w:tplc="9BDCAE8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43485"/>
    <w:multiLevelType w:val="hybridMultilevel"/>
    <w:tmpl w:val="399C807E"/>
    <w:lvl w:ilvl="0" w:tplc="F4DE7ED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20B14"/>
    <w:multiLevelType w:val="hybridMultilevel"/>
    <w:tmpl w:val="C1A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566D8"/>
    <w:multiLevelType w:val="hybridMultilevel"/>
    <w:tmpl w:val="58F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A2B35"/>
    <w:multiLevelType w:val="hybridMultilevel"/>
    <w:tmpl w:val="F61ADD04"/>
    <w:lvl w:ilvl="0" w:tplc="EFC26F30">
      <w:start w:val="1"/>
      <w:numFmt w:val="hebrew1"/>
      <w:pStyle w:val="Heading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B8F3E10"/>
    <w:multiLevelType w:val="hybridMultilevel"/>
    <w:tmpl w:val="5EF8B14C"/>
    <w:lvl w:ilvl="0" w:tplc="AA2E2B7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60317"/>
    <w:multiLevelType w:val="hybridMultilevel"/>
    <w:tmpl w:val="78B089E0"/>
    <w:lvl w:ilvl="0" w:tplc="D8249FB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7240A"/>
    <w:multiLevelType w:val="hybridMultilevel"/>
    <w:tmpl w:val="7D2EADBC"/>
    <w:lvl w:ilvl="0" w:tplc="5D169C2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35BCB"/>
    <w:multiLevelType w:val="hybridMultilevel"/>
    <w:tmpl w:val="A782B1AA"/>
    <w:lvl w:ilvl="0" w:tplc="D36EC19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079A"/>
    <w:multiLevelType w:val="hybridMultilevel"/>
    <w:tmpl w:val="AF807382"/>
    <w:lvl w:ilvl="0" w:tplc="E6306F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90E0E"/>
    <w:multiLevelType w:val="hybridMultilevel"/>
    <w:tmpl w:val="0902CF04"/>
    <w:lvl w:ilvl="0" w:tplc="11287EC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490313"/>
    <w:multiLevelType w:val="hybridMultilevel"/>
    <w:tmpl w:val="3808065C"/>
    <w:lvl w:ilvl="0" w:tplc="460A59A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C035E"/>
    <w:multiLevelType w:val="hybridMultilevel"/>
    <w:tmpl w:val="944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80C48"/>
    <w:multiLevelType w:val="hybridMultilevel"/>
    <w:tmpl w:val="EFAEA308"/>
    <w:lvl w:ilvl="0" w:tplc="8C7E64A2">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0"/>
  </w:num>
  <w:num w:numId="5">
    <w:abstractNumId w:val="18"/>
  </w:num>
  <w:num w:numId="6">
    <w:abstractNumId w:val="41"/>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32"/>
    <w:lvlOverride w:ilvl="0">
      <w:startOverride w:val="1"/>
    </w:lvlOverride>
  </w:num>
  <w:num w:numId="18">
    <w:abstractNumId w:val="15"/>
  </w:num>
  <w:num w:numId="19">
    <w:abstractNumId w:val="33"/>
  </w:num>
  <w:num w:numId="20">
    <w:abstractNumId w:val="36"/>
  </w:num>
  <w:num w:numId="21">
    <w:abstractNumId w:val="38"/>
  </w:num>
  <w:num w:numId="22">
    <w:abstractNumId w:val="34"/>
  </w:num>
  <w:num w:numId="23">
    <w:abstractNumId w:val="39"/>
  </w:num>
  <w:num w:numId="24">
    <w:abstractNumId w:val="35"/>
  </w:num>
  <w:num w:numId="25">
    <w:abstractNumId w:val="42"/>
  </w:num>
  <w:num w:numId="26">
    <w:abstractNumId w:val="28"/>
  </w:num>
  <w:num w:numId="27">
    <w:abstractNumId w:val="16"/>
  </w:num>
  <w:num w:numId="28">
    <w:abstractNumId w:val="29"/>
  </w:num>
  <w:num w:numId="29">
    <w:abstractNumId w:val="37"/>
  </w:num>
  <w:num w:numId="30">
    <w:abstractNumId w:val="25"/>
  </w:num>
  <w:num w:numId="31">
    <w:abstractNumId w:val="27"/>
  </w:num>
  <w:num w:numId="32">
    <w:abstractNumId w:val="13"/>
  </w:num>
  <w:num w:numId="33">
    <w:abstractNumId w:val="17"/>
  </w:num>
  <w:num w:numId="34">
    <w:abstractNumId w:val="10"/>
  </w:num>
  <w:num w:numId="35">
    <w:abstractNumId w:val="44"/>
  </w:num>
  <w:num w:numId="36">
    <w:abstractNumId w:val="12"/>
  </w:num>
  <w:num w:numId="37">
    <w:abstractNumId w:val="43"/>
  </w:num>
  <w:num w:numId="38">
    <w:abstractNumId w:val="20"/>
  </w:num>
  <w:num w:numId="39">
    <w:abstractNumId w:val="22"/>
  </w:num>
  <w:num w:numId="40">
    <w:abstractNumId w:val="26"/>
  </w:num>
  <w:num w:numId="41">
    <w:abstractNumId w:val="23"/>
  </w:num>
  <w:num w:numId="42">
    <w:abstractNumId w:val="21"/>
  </w:num>
  <w:num w:numId="43">
    <w:abstractNumId w:val="24"/>
  </w:num>
  <w:num w:numId="44">
    <w:abstractNumId w:val="30"/>
  </w:num>
  <w:num w:numId="45">
    <w:abstractNumId w:val="31"/>
  </w:num>
  <w:num w:numId="46">
    <w:abstractNumId w:val="14"/>
  </w:num>
  <w:num w:numId="47">
    <w:abstractNumId w:val="1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25"/>
    <w:rsid w:val="00026299"/>
    <w:rsid w:val="000276E8"/>
    <w:rsid w:val="000657A8"/>
    <w:rsid w:val="000864FD"/>
    <w:rsid w:val="000D54FD"/>
    <w:rsid w:val="000F4CAE"/>
    <w:rsid w:val="00102756"/>
    <w:rsid w:val="001078B3"/>
    <w:rsid w:val="0017642F"/>
    <w:rsid w:val="002340A4"/>
    <w:rsid w:val="00235FD5"/>
    <w:rsid w:val="00252CF1"/>
    <w:rsid w:val="002535F0"/>
    <w:rsid w:val="00270724"/>
    <w:rsid w:val="00295570"/>
    <w:rsid w:val="002C6D22"/>
    <w:rsid w:val="002E1C13"/>
    <w:rsid w:val="00306EBA"/>
    <w:rsid w:val="00332E9E"/>
    <w:rsid w:val="003718C9"/>
    <w:rsid w:val="003879C1"/>
    <w:rsid w:val="003B0FC4"/>
    <w:rsid w:val="003B3EBF"/>
    <w:rsid w:val="003B436F"/>
    <w:rsid w:val="003D6D61"/>
    <w:rsid w:val="003E2BD0"/>
    <w:rsid w:val="00402EE1"/>
    <w:rsid w:val="0041180D"/>
    <w:rsid w:val="00416BC6"/>
    <w:rsid w:val="00446E50"/>
    <w:rsid w:val="0046618F"/>
    <w:rsid w:val="0047350C"/>
    <w:rsid w:val="00480BEE"/>
    <w:rsid w:val="004B366D"/>
    <w:rsid w:val="004C34A3"/>
    <w:rsid w:val="004C7423"/>
    <w:rsid w:val="004D4A19"/>
    <w:rsid w:val="005263AC"/>
    <w:rsid w:val="005E1F57"/>
    <w:rsid w:val="00621D74"/>
    <w:rsid w:val="00627CA8"/>
    <w:rsid w:val="006455C5"/>
    <w:rsid w:val="00682725"/>
    <w:rsid w:val="006912B0"/>
    <w:rsid w:val="00693827"/>
    <w:rsid w:val="006B3B62"/>
    <w:rsid w:val="006B43C8"/>
    <w:rsid w:val="006D1A96"/>
    <w:rsid w:val="006D1C33"/>
    <w:rsid w:val="006D255F"/>
    <w:rsid w:val="00791AC9"/>
    <w:rsid w:val="007E1598"/>
    <w:rsid w:val="007F6EA8"/>
    <w:rsid w:val="00806032"/>
    <w:rsid w:val="00814D16"/>
    <w:rsid w:val="00874037"/>
    <w:rsid w:val="008742E5"/>
    <w:rsid w:val="0087556F"/>
    <w:rsid w:val="00891278"/>
    <w:rsid w:val="008E68B8"/>
    <w:rsid w:val="00924BE9"/>
    <w:rsid w:val="00934016"/>
    <w:rsid w:val="00953502"/>
    <w:rsid w:val="0096262C"/>
    <w:rsid w:val="00982EC5"/>
    <w:rsid w:val="009931F4"/>
    <w:rsid w:val="009B2065"/>
    <w:rsid w:val="009B3A99"/>
    <w:rsid w:val="00A0600A"/>
    <w:rsid w:val="00A315D3"/>
    <w:rsid w:val="00A75E7A"/>
    <w:rsid w:val="00A95A64"/>
    <w:rsid w:val="00AA6B30"/>
    <w:rsid w:val="00AC7E26"/>
    <w:rsid w:val="00B065F4"/>
    <w:rsid w:val="00B12397"/>
    <w:rsid w:val="00B37225"/>
    <w:rsid w:val="00B46E3A"/>
    <w:rsid w:val="00B77011"/>
    <w:rsid w:val="00BB10F8"/>
    <w:rsid w:val="00BE726D"/>
    <w:rsid w:val="00C16741"/>
    <w:rsid w:val="00C34E61"/>
    <w:rsid w:val="00C64225"/>
    <w:rsid w:val="00C84FBF"/>
    <w:rsid w:val="00CC292D"/>
    <w:rsid w:val="00D021CB"/>
    <w:rsid w:val="00D35EC9"/>
    <w:rsid w:val="00D4171A"/>
    <w:rsid w:val="00D66298"/>
    <w:rsid w:val="00DB7059"/>
    <w:rsid w:val="00DF5544"/>
    <w:rsid w:val="00DF5C9E"/>
    <w:rsid w:val="00E022D2"/>
    <w:rsid w:val="00E14D40"/>
    <w:rsid w:val="00E165AC"/>
    <w:rsid w:val="00E20A9A"/>
    <w:rsid w:val="00E27EF5"/>
    <w:rsid w:val="00E643FC"/>
    <w:rsid w:val="00E92D52"/>
    <w:rsid w:val="00E94073"/>
    <w:rsid w:val="00EA1B2E"/>
    <w:rsid w:val="00EA1D98"/>
    <w:rsid w:val="00EF4D31"/>
    <w:rsid w:val="00F32D09"/>
    <w:rsid w:val="00F45028"/>
    <w:rsid w:val="00F47356"/>
    <w:rsid w:val="00F85AA4"/>
    <w:rsid w:val="00FE3263"/>
    <w:rsid w:val="00FF30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0E84"/>
  <w15:docId w15:val="{D5A03DE7-05CE-4CD8-83D7-E2233F20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97"/>
    <w:pPr>
      <w:widowControl w:val="0"/>
      <w:bidi/>
      <w:spacing w:after="0" w:line="360" w:lineRule="auto"/>
      <w:ind w:left="340"/>
      <w:contextualSpacing/>
      <w:jc w:val="both"/>
    </w:pPr>
    <w:rPr>
      <w:rFonts w:ascii="David" w:hAnsi="David" w:cs="David"/>
      <w:sz w:val="24"/>
      <w:szCs w:val="24"/>
    </w:rPr>
  </w:style>
  <w:style w:type="paragraph" w:styleId="Heading1">
    <w:name w:val="heading 1"/>
    <w:basedOn w:val="Normal"/>
    <w:next w:val="Normal"/>
    <w:link w:val="Heading1Char"/>
    <w:uiPriority w:val="9"/>
    <w:qFormat/>
    <w:rsid w:val="00B12397"/>
    <w:pPr>
      <w:keepNext/>
      <w:keepLines/>
      <w:spacing w:before="240"/>
      <w:jc w:val="center"/>
      <w:outlineLvl w:val="0"/>
    </w:pPr>
    <w:rPr>
      <w:rFonts w:asciiTheme="majorHAnsi" w:eastAsiaTheme="majorEastAsia" w:hAnsiTheme="majorHAnsi"/>
      <w:bCs/>
      <w:sz w:val="32"/>
      <w:szCs w:val="36"/>
    </w:rPr>
  </w:style>
  <w:style w:type="paragraph" w:styleId="Heading2">
    <w:name w:val="heading 2"/>
    <w:basedOn w:val="Normal"/>
    <w:next w:val="Normal"/>
    <w:link w:val="Heading2Char"/>
    <w:unhideWhenUsed/>
    <w:qFormat/>
    <w:rsid w:val="00B12397"/>
    <w:pPr>
      <w:ind w:left="0"/>
      <w:jc w:val="left"/>
      <w:outlineLvl w:val="1"/>
    </w:pPr>
    <w:rPr>
      <w:rFonts w:asciiTheme="majorHAnsi" w:eastAsiaTheme="majorEastAsia" w:hAnsiTheme="majorHAnsi"/>
      <w:bCs/>
      <w:sz w:val="26"/>
      <w:szCs w:val="36"/>
      <w:u w:val="single"/>
    </w:rPr>
  </w:style>
  <w:style w:type="paragraph" w:styleId="Heading3">
    <w:name w:val="heading 3"/>
    <w:basedOn w:val="Normal"/>
    <w:next w:val="Normal"/>
    <w:link w:val="Heading3Char"/>
    <w:unhideWhenUsed/>
    <w:qFormat/>
    <w:rsid w:val="00B12397"/>
    <w:pPr>
      <w:spacing w:before="40"/>
      <w:ind w:left="0"/>
      <w:jc w:val="left"/>
      <w:outlineLvl w:val="2"/>
    </w:pPr>
    <w:rPr>
      <w:rFonts w:asciiTheme="majorHAnsi" w:eastAsiaTheme="majorEastAsia" w:hAnsiTheme="majorHAnsi"/>
      <w:szCs w:val="28"/>
      <w:u w:val="double"/>
    </w:rPr>
  </w:style>
  <w:style w:type="paragraph" w:styleId="Heading4">
    <w:name w:val="heading 4"/>
    <w:basedOn w:val="Normal"/>
    <w:next w:val="Normal"/>
    <w:link w:val="Heading4Char"/>
    <w:uiPriority w:val="9"/>
    <w:unhideWhenUsed/>
    <w:qFormat/>
    <w:rsid w:val="00B12397"/>
    <w:pPr>
      <w:numPr>
        <w:numId w:val="1"/>
      </w:numPr>
      <w:spacing w:before="40" w:after="120"/>
      <w:outlineLvl w:val="3"/>
    </w:pPr>
    <w:rPr>
      <w:b/>
      <w:bCs/>
      <w:color w:val="000000" w:themeColor="text1"/>
      <w:szCs w:val="28"/>
    </w:rPr>
  </w:style>
  <w:style w:type="paragraph" w:styleId="Heading5">
    <w:name w:val="heading 5"/>
    <w:basedOn w:val="Normal"/>
    <w:next w:val="Normal"/>
    <w:link w:val="Heading5Char"/>
    <w:uiPriority w:val="9"/>
    <w:unhideWhenUsed/>
    <w:qFormat/>
    <w:rsid w:val="00B12397"/>
    <w:pPr>
      <w:spacing w:line="259" w:lineRule="auto"/>
      <w:outlineLvl w:val="4"/>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397"/>
    <w:rPr>
      <w:rFonts w:asciiTheme="majorHAnsi" w:eastAsiaTheme="majorEastAsia" w:hAnsiTheme="majorHAnsi" w:cs="David"/>
      <w:bCs/>
      <w:sz w:val="32"/>
      <w:szCs w:val="36"/>
    </w:rPr>
  </w:style>
  <w:style w:type="character" w:customStyle="1" w:styleId="Heading4Char">
    <w:name w:val="Heading 4 Char"/>
    <w:basedOn w:val="DefaultParagraphFont"/>
    <w:link w:val="Heading4"/>
    <w:uiPriority w:val="9"/>
    <w:rsid w:val="00B12397"/>
    <w:rPr>
      <w:rFonts w:ascii="David" w:hAnsi="David" w:cs="David"/>
      <w:b/>
      <w:bCs/>
      <w:color w:val="000000" w:themeColor="text1"/>
      <w:sz w:val="24"/>
      <w:szCs w:val="28"/>
    </w:rPr>
  </w:style>
  <w:style w:type="paragraph" w:customStyle="1" w:styleId="TableText">
    <w:name w:val="Table Text"/>
    <w:basedOn w:val="Normal"/>
    <w:rsid w:val="00B1239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B12397"/>
    <w:pPr>
      <w:outlineLvl w:val="2"/>
    </w:pPr>
  </w:style>
  <w:style w:type="paragraph" w:customStyle="1" w:styleId="TableBlock">
    <w:name w:val="Table Block"/>
    <w:basedOn w:val="TableText"/>
    <w:rsid w:val="00B12397"/>
    <w:pPr>
      <w:jc w:val="both"/>
    </w:pPr>
  </w:style>
  <w:style w:type="paragraph" w:customStyle="1" w:styleId="TableHead">
    <w:name w:val="Table Head"/>
    <w:basedOn w:val="TableText"/>
    <w:rsid w:val="00B12397"/>
    <w:pPr>
      <w:jc w:val="center"/>
      <w:outlineLvl w:val="1"/>
    </w:pPr>
    <w:rPr>
      <w:b/>
      <w:bCs/>
    </w:rPr>
  </w:style>
  <w:style w:type="paragraph" w:customStyle="1" w:styleId="HeadMitparsemetBaze">
    <w:name w:val="Head MitparsemetBaze"/>
    <w:basedOn w:val="Normal"/>
    <w:rsid w:val="00B1239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Normal"/>
    <w:rsid w:val="00B12397"/>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B12397"/>
    <w:pPr>
      <w:tabs>
        <w:tab w:val="left" w:pos="680"/>
        <w:tab w:val="left" w:pos="1020"/>
      </w:tabs>
      <w:ind w:firstLine="0"/>
    </w:pPr>
  </w:style>
  <w:style w:type="paragraph" w:customStyle="1" w:styleId="HeadDivreiHesber">
    <w:name w:val="Head DivreiHesber"/>
    <w:basedOn w:val="Normal"/>
    <w:rsid w:val="00B12397"/>
    <w:pPr>
      <w:snapToGrid w:val="0"/>
      <w:spacing w:before="360" w:after="120"/>
      <w:jc w:val="center"/>
      <w:outlineLvl w:val="1"/>
    </w:pPr>
    <w:rPr>
      <w:rFonts w:ascii="Arial" w:eastAsia="Arial Unicode MS" w:hAnsi="Arial"/>
      <w:b/>
      <w:snapToGrid w:val="0"/>
      <w:spacing w:val="40"/>
      <w:sz w:val="20"/>
      <w:szCs w:val="26"/>
    </w:rPr>
  </w:style>
  <w:style w:type="character" w:customStyle="1" w:styleId="Heading2Char">
    <w:name w:val="Heading 2 Char"/>
    <w:basedOn w:val="DefaultParagraphFont"/>
    <w:link w:val="Heading2"/>
    <w:rsid w:val="00B12397"/>
    <w:rPr>
      <w:rFonts w:asciiTheme="majorHAnsi" w:eastAsiaTheme="majorEastAsia" w:hAnsiTheme="majorHAnsi" w:cs="David"/>
      <w:bCs/>
      <w:sz w:val="26"/>
      <w:szCs w:val="36"/>
      <w:u w:val="single"/>
    </w:rPr>
  </w:style>
  <w:style w:type="character" w:customStyle="1" w:styleId="Heading3Char">
    <w:name w:val="Heading 3 Char"/>
    <w:basedOn w:val="DefaultParagraphFont"/>
    <w:link w:val="Heading3"/>
    <w:rsid w:val="00B12397"/>
    <w:rPr>
      <w:rFonts w:asciiTheme="majorHAnsi" w:eastAsiaTheme="majorEastAsia" w:hAnsiTheme="majorHAnsi" w:cs="David"/>
      <w:sz w:val="24"/>
      <w:szCs w:val="28"/>
      <w:u w:val="double"/>
    </w:rPr>
  </w:style>
  <w:style w:type="character" w:customStyle="1" w:styleId="Heading5Char">
    <w:name w:val="Heading 5 Char"/>
    <w:basedOn w:val="DefaultParagraphFont"/>
    <w:link w:val="Heading5"/>
    <w:uiPriority w:val="9"/>
    <w:rsid w:val="00B12397"/>
    <w:rPr>
      <w:rFonts w:ascii="David" w:hAnsi="David" w:cs="David"/>
      <w:color w:val="000000" w:themeColor="text1"/>
      <w:sz w:val="24"/>
      <w:szCs w:val="24"/>
    </w:rPr>
  </w:style>
  <w:style w:type="paragraph" w:customStyle="1" w:styleId="HeadHatzaotHok4Futer">
    <w:name w:val="Head HatzaotHok4Futer"/>
    <w:basedOn w:val="HeadHatzaotHok"/>
    <w:rsid w:val="00B12397"/>
    <w:pPr>
      <w:spacing w:before="120" w:after="120"/>
    </w:pPr>
    <w:rPr>
      <w:color w:val="FF0000"/>
      <w:w w:val="80"/>
    </w:rPr>
  </w:style>
  <w:style w:type="paragraph" w:styleId="EndnoteText">
    <w:name w:val="endnote text"/>
    <w:basedOn w:val="Normal"/>
    <w:link w:val="EndnoteTextChar"/>
    <w:semiHidden/>
    <w:rsid w:val="00B12397"/>
    <w:pPr>
      <w:ind w:left="227" w:hanging="227"/>
    </w:pPr>
    <w:rPr>
      <w:sz w:val="14"/>
      <w:szCs w:val="22"/>
    </w:rPr>
  </w:style>
  <w:style w:type="character" w:customStyle="1" w:styleId="EndnoteTextChar">
    <w:name w:val="Endnote Text Char"/>
    <w:basedOn w:val="DefaultParagraphFont"/>
    <w:link w:val="EndnoteText"/>
    <w:semiHidden/>
    <w:rsid w:val="00C64225"/>
    <w:rPr>
      <w:rFonts w:ascii="David" w:hAnsi="David" w:cs="David"/>
      <w:sz w:val="14"/>
    </w:rPr>
  </w:style>
  <w:style w:type="paragraph" w:customStyle="1" w:styleId="TableInnerSideHeading">
    <w:name w:val="Table InnerSideHeading"/>
    <w:basedOn w:val="TableSideHeading"/>
    <w:rsid w:val="00B12397"/>
    <w:pPr>
      <w:outlineLvl w:val="9"/>
    </w:pPr>
  </w:style>
  <w:style w:type="paragraph" w:customStyle="1" w:styleId="Hesber">
    <w:name w:val="Hesber"/>
    <w:basedOn w:val="Normal"/>
    <w:rsid w:val="00B12397"/>
    <w:pPr>
      <w:snapToGrid w:val="0"/>
      <w:ind w:left="0" w:firstLine="340"/>
    </w:pPr>
    <w:rPr>
      <w:rFonts w:ascii="Arial" w:eastAsia="Arial Unicode MS" w:hAnsi="Arial"/>
      <w:snapToGrid w:val="0"/>
      <w:sz w:val="20"/>
      <w:szCs w:val="26"/>
    </w:rPr>
  </w:style>
  <w:style w:type="paragraph" w:styleId="FootnoteText">
    <w:name w:val="footnote text"/>
    <w:basedOn w:val="Normal"/>
    <w:link w:val="FootnoteTextChar"/>
    <w:autoRedefine/>
    <w:uiPriority w:val="99"/>
    <w:semiHidden/>
    <w:rsid w:val="00B12397"/>
    <w:pPr>
      <w:snapToGrid w:val="0"/>
      <w:spacing w:line="240" w:lineRule="auto"/>
      <w:ind w:left="0"/>
      <w:jc w:val="left"/>
    </w:pPr>
    <w:rPr>
      <w:rFonts w:ascii="Arial" w:eastAsia="Arial Unicode MS" w:hAnsi="Arial"/>
      <w:snapToGrid w:val="0"/>
      <w:sz w:val="14"/>
      <w:szCs w:val="20"/>
    </w:rPr>
  </w:style>
  <w:style w:type="character" w:customStyle="1" w:styleId="FootnoteTextChar">
    <w:name w:val="Footnote Text Char"/>
    <w:basedOn w:val="DefaultParagraphFont"/>
    <w:link w:val="FootnoteText"/>
    <w:uiPriority w:val="99"/>
    <w:semiHidden/>
    <w:rsid w:val="00C64225"/>
    <w:rPr>
      <w:rFonts w:ascii="Arial" w:eastAsia="Arial Unicode MS" w:hAnsi="Arial" w:cs="David"/>
      <w:snapToGrid w:val="0"/>
      <w:sz w:val="14"/>
      <w:szCs w:val="20"/>
    </w:rPr>
  </w:style>
  <w:style w:type="character" w:styleId="FootnoteReference">
    <w:name w:val="footnote reference"/>
    <w:basedOn w:val="DefaultParagraphFont"/>
    <w:uiPriority w:val="99"/>
    <w:rsid w:val="00B12397"/>
    <w:rPr>
      <w:vertAlign w:val="superscript"/>
    </w:rPr>
  </w:style>
  <w:style w:type="paragraph" w:customStyle="1" w:styleId="HesberHeading">
    <w:name w:val="Hesber Heading"/>
    <w:basedOn w:val="Hesber"/>
    <w:rsid w:val="00B12397"/>
    <w:pPr>
      <w:tabs>
        <w:tab w:val="left" w:pos="624"/>
        <w:tab w:val="left" w:pos="1247"/>
      </w:tabs>
    </w:pPr>
    <w:rPr>
      <w:b/>
      <w:bCs/>
    </w:rPr>
  </w:style>
  <w:style w:type="paragraph" w:customStyle="1" w:styleId="HesberWriters">
    <w:name w:val="Hesber Writers"/>
    <w:basedOn w:val="Hesber"/>
    <w:rsid w:val="00B12397"/>
    <w:pPr>
      <w:spacing w:before="120" w:after="120"/>
      <w:ind w:left="1418"/>
      <w:jc w:val="right"/>
    </w:pPr>
    <w:rPr>
      <w:b/>
      <w:bCs/>
    </w:rPr>
  </w:style>
  <w:style w:type="character" w:styleId="EndnoteReference">
    <w:name w:val="endnote reference"/>
    <w:basedOn w:val="DefaultParagraphFont"/>
    <w:semiHidden/>
    <w:rsid w:val="00B12397"/>
    <w:rPr>
      <w:vertAlign w:val="superscript"/>
    </w:rPr>
  </w:style>
  <w:style w:type="paragraph" w:customStyle="1" w:styleId="TableBlockOutdent">
    <w:name w:val="Table BlockOutdent"/>
    <w:basedOn w:val="TableBlock"/>
    <w:rsid w:val="00B12397"/>
    <w:pPr>
      <w:ind w:left="624" w:hanging="624"/>
    </w:pPr>
  </w:style>
  <w:style w:type="paragraph" w:styleId="Header">
    <w:name w:val="header"/>
    <w:basedOn w:val="Normal"/>
    <w:link w:val="HeaderChar"/>
    <w:rsid w:val="00B12397"/>
    <w:pPr>
      <w:tabs>
        <w:tab w:val="center" w:pos="4153"/>
        <w:tab w:val="right" w:pos="8306"/>
      </w:tabs>
    </w:pPr>
  </w:style>
  <w:style w:type="character" w:customStyle="1" w:styleId="HeaderChar">
    <w:name w:val="Header Char"/>
    <w:basedOn w:val="DefaultParagraphFont"/>
    <w:link w:val="Header"/>
    <w:rsid w:val="00C64225"/>
    <w:rPr>
      <w:rFonts w:ascii="David" w:hAnsi="David" w:cs="David"/>
      <w:sz w:val="24"/>
      <w:szCs w:val="24"/>
    </w:rPr>
  </w:style>
  <w:style w:type="paragraph" w:styleId="Footer">
    <w:name w:val="footer"/>
    <w:basedOn w:val="Normal"/>
    <w:link w:val="FooterChar"/>
    <w:rsid w:val="00B12397"/>
    <w:pPr>
      <w:tabs>
        <w:tab w:val="center" w:pos="4153"/>
        <w:tab w:val="right" w:pos="8306"/>
      </w:tabs>
    </w:pPr>
  </w:style>
  <w:style w:type="character" w:customStyle="1" w:styleId="FooterChar">
    <w:name w:val="Footer Char"/>
    <w:basedOn w:val="DefaultParagraphFont"/>
    <w:link w:val="Footer"/>
    <w:rsid w:val="00C64225"/>
    <w:rPr>
      <w:rFonts w:ascii="David" w:hAnsi="David" w:cs="David"/>
      <w:sz w:val="24"/>
      <w:szCs w:val="24"/>
    </w:rPr>
  </w:style>
  <w:style w:type="character" w:styleId="PageNumber">
    <w:name w:val="page number"/>
    <w:basedOn w:val="DefaultParagraphFont"/>
    <w:rsid w:val="00B12397"/>
  </w:style>
  <w:style w:type="paragraph" w:customStyle="1" w:styleId="Cover1-Reshumot">
    <w:name w:val="Cover 1-Reshumot"/>
    <w:basedOn w:val="Normal"/>
    <w:rsid w:val="00B1239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B12397"/>
    <w:rPr>
      <w:sz w:val="36"/>
      <w:szCs w:val="52"/>
    </w:rPr>
  </w:style>
  <w:style w:type="paragraph" w:customStyle="1" w:styleId="Cover3-Haknesset">
    <w:name w:val="Cover 3-Haknesset"/>
    <w:basedOn w:val="Cover1-Reshumot"/>
    <w:rsid w:val="00B12397"/>
    <w:rPr>
      <w:b/>
      <w:bCs/>
      <w:spacing w:val="60"/>
    </w:rPr>
  </w:style>
  <w:style w:type="paragraph" w:customStyle="1" w:styleId="Cover4-Date">
    <w:name w:val="Cover 4-Date"/>
    <w:basedOn w:val="Normal"/>
    <w:rsid w:val="00B1239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Normal"/>
    <w:rsid w:val="00B12397"/>
    <w:pPr>
      <w:snapToGrid w:val="0"/>
      <w:jc w:val="left"/>
    </w:pPr>
    <w:rPr>
      <w:rFonts w:ascii="Arial" w:eastAsia="Arial Unicode MS" w:hAnsi="Arial"/>
      <w:snapToGrid w:val="0"/>
      <w:sz w:val="20"/>
      <w:szCs w:val="26"/>
    </w:rPr>
  </w:style>
  <w:style w:type="paragraph" w:styleId="TOCHeading">
    <w:name w:val="TOC Heading"/>
    <w:basedOn w:val="Heading1"/>
    <w:next w:val="Normal"/>
    <w:uiPriority w:val="39"/>
    <w:unhideWhenUsed/>
    <w:qFormat/>
    <w:rsid w:val="00B12397"/>
    <w:pPr>
      <w:widowControl/>
      <w:spacing w:before="120" w:after="120"/>
      <w:outlineLvl w:val="9"/>
    </w:pPr>
    <w:rPr>
      <w:rtl/>
      <w:cs/>
    </w:rPr>
  </w:style>
  <w:style w:type="paragraph" w:styleId="TOC1">
    <w:name w:val="toc 1"/>
    <w:basedOn w:val="Normal"/>
    <w:next w:val="Normal"/>
    <w:autoRedefine/>
    <w:uiPriority w:val="39"/>
    <w:unhideWhenUsed/>
    <w:rsid w:val="00B12397"/>
    <w:pPr>
      <w:tabs>
        <w:tab w:val="right" w:leader="dot" w:pos="9629"/>
      </w:tabs>
      <w:spacing w:after="100"/>
    </w:pPr>
    <w:rPr>
      <w:bCs/>
      <w:szCs w:val="22"/>
    </w:rPr>
  </w:style>
  <w:style w:type="paragraph" w:styleId="TOC2">
    <w:name w:val="toc 2"/>
    <w:basedOn w:val="Normal"/>
    <w:next w:val="Normal"/>
    <w:uiPriority w:val="39"/>
    <w:unhideWhenUsed/>
    <w:rsid w:val="00B12397"/>
    <w:pPr>
      <w:tabs>
        <w:tab w:val="right" w:leader="dot" w:pos="9628"/>
      </w:tabs>
      <w:spacing w:after="100"/>
    </w:pPr>
    <w:rPr>
      <w:szCs w:val="22"/>
    </w:rPr>
  </w:style>
  <w:style w:type="character" w:styleId="Hyperlink">
    <w:name w:val="Hyperlink"/>
    <w:basedOn w:val="DefaultParagraphFont"/>
    <w:uiPriority w:val="99"/>
    <w:unhideWhenUsed/>
    <w:rsid w:val="00B12397"/>
    <w:rPr>
      <w:color w:val="0000FF" w:themeColor="hyperlink"/>
      <w:u w:val="single"/>
    </w:rPr>
  </w:style>
  <w:style w:type="paragraph" w:styleId="TOC3">
    <w:name w:val="toc 3"/>
    <w:basedOn w:val="Normal"/>
    <w:next w:val="Normal"/>
    <w:uiPriority w:val="39"/>
    <w:unhideWhenUsed/>
    <w:rsid w:val="00B12397"/>
    <w:pPr>
      <w:numPr>
        <w:numId w:val="19"/>
      </w:numPr>
      <w:tabs>
        <w:tab w:val="right" w:leader="dot" w:pos="9629"/>
      </w:tabs>
      <w:spacing w:after="100"/>
      <w:ind w:left="811" w:hanging="357"/>
    </w:pPr>
    <w:rPr>
      <w:szCs w:val="22"/>
    </w:rPr>
  </w:style>
  <w:style w:type="paragraph" w:styleId="TOC4">
    <w:name w:val="toc 4"/>
    <w:basedOn w:val="Normal"/>
    <w:next w:val="Normal"/>
    <w:autoRedefine/>
    <w:uiPriority w:val="39"/>
    <w:unhideWhenUsed/>
    <w:qFormat/>
    <w:rsid w:val="00B1239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Normal"/>
    <w:next w:val="Normal"/>
    <w:semiHidden/>
    <w:unhideWhenUsed/>
    <w:rsid w:val="00B12397"/>
    <w:pPr>
      <w:tabs>
        <w:tab w:val="right" w:leader="dot" w:pos="9628"/>
      </w:tabs>
      <w:spacing w:after="100"/>
      <w:ind w:left="567"/>
    </w:pPr>
    <w:rPr>
      <w:szCs w:val="22"/>
    </w:rPr>
  </w:style>
  <w:style w:type="paragraph" w:styleId="TOC6">
    <w:name w:val="toc 6"/>
    <w:basedOn w:val="Normal"/>
    <w:next w:val="Normal"/>
    <w:autoRedefine/>
    <w:semiHidden/>
    <w:unhideWhenUsed/>
    <w:rsid w:val="00B12397"/>
    <w:pPr>
      <w:spacing w:after="100"/>
      <w:ind w:left="850"/>
    </w:pPr>
  </w:style>
  <w:style w:type="paragraph" w:styleId="TOC7">
    <w:name w:val="toc 7"/>
    <w:basedOn w:val="Normal"/>
    <w:next w:val="Normal"/>
    <w:autoRedefine/>
    <w:semiHidden/>
    <w:unhideWhenUsed/>
    <w:rsid w:val="00B12397"/>
    <w:pPr>
      <w:spacing w:after="100"/>
      <w:ind w:left="1020"/>
    </w:pPr>
  </w:style>
  <w:style w:type="paragraph" w:styleId="TOC8">
    <w:name w:val="toc 8"/>
    <w:basedOn w:val="Normal"/>
    <w:next w:val="Normal"/>
    <w:autoRedefine/>
    <w:semiHidden/>
    <w:unhideWhenUsed/>
    <w:rsid w:val="00B12397"/>
    <w:pPr>
      <w:spacing w:after="100"/>
      <w:ind w:left="1190"/>
    </w:pPr>
  </w:style>
  <w:style w:type="paragraph" w:styleId="TOC9">
    <w:name w:val="toc 9"/>
    <w:basedOn w:val="Normal"/>
    <w:next w:val="Normal"/>
    <w:autoRedefine/>
    <w:semiHidden/>
    <w:unhideWhenUsed/>
    <w:rsid w:val="00B12397"/>
    <w:pPr>
      <w:spacing w:after="100"/>
      <w:ind w:left="1360"/>
    </w:pPr>
  </w:style>
  <w:style w:type="paragraph" w:customStyle="1" w:styleId="TableHead2">
    <w:name w:val="Table Head2"/>
    <w:basedOn w:val="TableHead"/>
    <w:qFormat/>
    <w:rsid w:val="00B12397"/>
    <w:pPr>
      <w:outlineLvl w:val="9"/>
    </w:pPr>
  </w:style>
  <w:style w:type="paragraph" w:customStyle="1" w:styleId="TableSideHeading2">
    <w:name w:val="Table SideHeading2"/>
    <w:basedOn w:val="TableSideHeading"/>
    <w:autoRedefine/>
    <w:qFormat/>
    <w:rsid w:val="00B12397"/>
    <w:pPr>
      <w:keepLines w:val="0"/>
      <w:outlineLvl w:val="9"/>
    </w:pPr>
  </w:style>
  <w:style w:type="paragraph" w:customStyle="1" w:styleId="0">
    <w:name w:val="סגנון שורה ראשונה:  0  ס''מ"/>
    <w:basedOn w:val="Heading2"/>
    <w:rsid w:val="00B12397"/>
    <w:rPr>
      <w:rFonts w:eastAsia="Times New Roman"/>
    </w:rPr>
  </w:style>
  <w:style w:type="paragraph" w:styleId="ListParagraph">
    <w:name w:val="List Paragraph"/>
    <w:basedOn w:val="Normal"/>
    <w:uiPriority w:val="34"/>
    <w:qFormat/>
    <w:rsid w:val="00B12397"/>
    <w:pPr>
      <w:widowControl/>
      <w:spacing w:line="259" w:lineRule="auto"/>
    </w:pPr>
    <w:rPr>
      <w:rFonts w:asciiTheme="minorHAnsi" w:hAnsiTheme="minorHAnsi"/>
      <w:sz w:val="22"/>
    </w:rPr>
  </w:style>
  <w:style w:type="table" w:styleId="TableGrid">
    <w:name w:val="Table Grid"/>
    <w:basedOn w:val="TableNormal"/>
    <w:rsid w:val="00B123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TableNormal"/>
    <w:uiPriority w:val="41"/>
    <w:rsid w:val="00C64225"/>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TableNormal"/>
    <w:uiPriority w:val="46"/>
    <w:rsid w:val="00C64225"/>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
    <w:name w:val="טבלת חקיקה"/>
    <w:basedOn w:val="TableNormal"/>
    <w:uiPriority w:val="99"/>
    <w:rsid w:val="00B12397"/>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
    <w:name w:val="סגנון1"/>
    <w:basedOn w:val="TableNormal"/>
    <w:uiPriority w:val="99"/>
    <w:rsid w:val="00B12397"/>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BalloonText">
    <w:name w:val="Balloon Text"/>
    <w:basedOn w:val="Normal"/>
    <w:link w:val="BalloonTextChar"/>
    <w:uiPriority w:val="99"/>
    <w:semiHidden/>
    <w:unhideWhenUsed/>
    <w:rsid w:val="00924BE9"/>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24BE9"/>
    <w:rPr>
      <w:rFonts w:ascii="Tahoma" w:hAnsi="Tahoma" w:cs="Tahoma"/>
      <w:sz w:val="18"/>
      <w:szCs w:val="18"/>
    </w:rPr>
  </w:style>
  <w:style w:type="character" w:styleId="CommentReference">
    <w:name w:val="annotation reference"/>
    <w:basedOn w:val="DefaultParagraphFont"/>
    <w:uiPriority w:val="99"/>
    <w:semiHidden/>
    <w:unhideWhenUsed/>
    <w:rsid w:val="00332E9E"/>
    <w:rPr>
      <w:sz w:val="16"/>
      <w:szCs w:val="16"/>
    </w:rPr>
  </w:style>
  <w:style w:type="paragraph" w:styleId="CommentText">
    <w:name w:val="annotation text"/>
    <w:basedOn w:val="Normal"/>
    <w:link w:val="CommentTextChar"/>
    <w:uiPriority w:val="99"/>
    <w:semiHidden/>
    <w:unhideWhenUsed/>
    <w:rsid w:val="00332E9E"/>
    <w:pPr>
      <w:spacing w:line="240" w:lineRule="auto"/>
    </w:pPr>
    <w:rPr>
      <w:sz w:val="20"/>
      <w:szCs w:val="20"/>
    </w:rPr>
  </w:style>
  <w:style w:type="character" w:customStyle="1" w:styleId="CommentTextChar">
    <w:name w:val="Comment Text Char"/>
    <w:basedOn w:val="DefaultParagraphFont"/>
    <w:link w:val="CommentText"/>
    <w:uiPriority w:val="99"/>
    <w:semiHidden/>
    <w:rsid w:val="00332E9E"/>
    <w:rPr>
      <w:rFonts w:ascii="David" w:hAnsi="David" w:cs="David"/>
      <w:sz w:val="20"/>
      <w:szCs w:val="20"/>
    </w:rPr>
  </w:style>
  <w:style w:type="paragraph" w:styleId="CommentSubject">
    <w:name w:val="annotation subject"/>
    <w:basedOn w:val="CommentText"/>
    <w:next w:val="CommentText"/>
    <w:link w:val="CommentSubjectChar"/>
    <w:uiPriority w:val="99"/>
    <w:semiHidden/>
    <w:unhideWhenUsed/>
    <w:rsid w:val="00332E9E"/>
    <w:rPr>
      <w:b/>
      <w:bCs/>
    </w:rPr>
  </w:style>
  <w:style w:type="character" w:customStyle="1" w:styleId="CommentSubjectChar">
    <w:name w:val="Comment Subject Char"/>
    <w:basedOn w:val="CommentTextChar"/>
    <w:link w:val="CommentSubject"/>
    <w:uiPriority w:val="99"/>
    <w:semiHidden/>
    <w:rsid w:val="00332E9E"/>
    <w:rPr>
      <w:rFonts w:ascii="David" w:hAnsi="David" w:cs="David"/>
      <w:b/>
      <w:bCs/>
      <w:sz w:val="20"/>
      <w:szCs w:val="20"/>
    </w:rPr>
  </w:style>
  <w:style w:type="character" w:customStyle="1" w:styleId="default">
    <w:name w:val="default"/>
    <w:basedOn w:val="DefaultParagraphFont"/>
    <w:rsid w:val="00E14D40"/>
    <w:rPr>
      <w:rFonts w:ascii="Times New Roman" w:hAnsi="Times New Roman" w:cs="Times New Roman"/>
      <w:sz w:val="26"/>
      <w:szCs w:val="26"/>
    </w:rPr>
  </w:style>
  <w:style w:type="table" w:customStyle="1" w:styleId="PlainTable11">
    <w:name w:val="Plain Table 11"/>
    <w:basedOn w:val="TableNormal"/>
    <w:uiPriority w:val="41"/>
    <w:rsid w:val="00B1239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B1239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
    <w:name w:val="p00"/>
    <w:basedOn w:val="Normal"/>
    <w:rsid w:val="003718C9"/>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P000">
    <w:name w:val="P00"/>
    <w:rsid w:val="00BE726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medium2-header">
    <w:name w:val="medium2-header"/>
    <w:basedOn w:val="Normal"/>
    <w:rsid w:val="00BE726D"/>
    <w:pPr>
      <w:keepNext/>
      <w:keepLines/>
      <w:tabs>
        <w:tab w:val="left" w:pos="624"/>
        <w:tab w:val="left" w:pos="1021"/>
        <w:tab w:val="left" w:pos="1474"/>
        <w:tab w:val="left" w:pos="1928"/>
        <w:tab w:val="left" w:pos="2381"/>
        <w:tab w:val="left" w:pos="2835"/>
      </w:tabs>
      <w:suppressAutoHyphens/>
      <w:autoSpaceDE w:val="0"/>
      <w:autoSpaceDN w:val="0"/>
      <w:spacing w:before="240" w:line="240" w:lineRule="auto"/>
      <w:ind w:left="2835"/>
      <w:contextualSpacing w:val="0"/>
      <w:jc w:val="center"/>
    </w:pPr>
    <w:rPr>
      <w:rFonts w:ascii="Times New Roman" w:eastAsia="Times New Roman" w:hAnsi="Times New Roman" w:cs="Times New Roman"/>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0272">
      <w:bodyDiv w:val="1"/>
      <w:marLeft w:val="0"/>
      <w:marRight w:val="0"/>
      <w:marTop w:val="0"/>
      <w:marBottom w:val="0"/>
      <w:divBdr>
        <w:top w:val="none" w:sz="0" w:space="0" w:color="auto"/>
        <w:left w:val="none" w:sz="0" w:space="0" w:color="auto"/>
        <w:bottom w:val="none" w:sz="0" w:space="0" w:color="auto"/>
        <w:right w:val="none" w:sz="0" w:space="0" w:color="auto"/>
      </w:divBdr>
    </w:div>
    <w:div w:id="21421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_word/law14/LAW-1522.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45484</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20C8-6FA6-4652-A2A6-E8E94B4FB05E}">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85F62BA3-33EC-4350-977D-FE32FB54EA2A}">
  <ds:schemaRefs>
    <ds:schemaRef ds:uri="http://schemas.microsoft.com/sharepoint/v3/contenttype/forms"/>
  </ds:schemaRefs>
</ds:datastoreItem>
</file>

<file path=customXml/itemProps3.xml><?xml version="1.0" encoding="utf-8"?>
<ds:datastoreItem xmlns:ds="http://schemas.openxmlformats.org/officeDocument/2006/customXml" ds:itemID="{75F9972E-ABCA-4F15-B29E-C8425272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7CC320-35C2-46AE-924C-AA8152ED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4802</Words>
  <Characters>27378</Characters>
  <Application>Microsoft Office Word</Application>
  <DocSecurity>0</DocSecurity>
  <Lines>228</Lines>
  <Paragraphs>64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להפצה לציבור - טיוטת תקנה 13 ומעבר מקום כולל דוח ריא.docx</vt:lpstr>
      <vt:lpstr/>
    </vt:vector>
  </TitlesOfParts>
  <Company>MOJ</Company>
  <LinksUpToDate>false</LinksUpToDate>
  <CharactersWithSpaces>32116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להפצה לציבור - טיוטת תקנה 13 ומעבר מקום כולל דוח ריא.docx</dc:title>
  <dc:creator>Hadas Agmon</dc:creator>
  <cp:lastModifiedBy>Yael Sankin - Chamber Of Commerce</cp:lastModifiedBy>
  <cp:revision>2</cp:revision>
  <dcterms:created xsi:type="dcterms:W3CDTF">2020-01-06T13:57:00Z</dcterms:created>
  <dcterms:modified xsi:type="dcterms:W3CDTF">2020-01-06T13:57:00Z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