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bookmarkStart w:id="0" w:name="_GoBack"/>
      <w:bookmarkEnd w:id="0"/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1" w:name="LGS_Internal_ID"/>
      <w:r>
        <w:rPr>
          <w:rFonts w:hint="cs"/>
          <w:b w:val="0"/>
          <w:bCs w:val="0"/>
          <w:szCs w:val="20"/>
          <w:rtl/>
        </w:rPr>
        <w:t>2066442</w:t>
      </w:r>
      <w:bookmarkEnd w:id="1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2" w:name="LGS_Knesset_Num"/>
      <w:r>
        <w:rPr>
          <w:rFonts w:hint="cs"/>
          <w:sz w:val="28"/>
          <w:szCs w:val="28"/>
          <w:rtl/>
        </w:rPr>
        <w:t>העשרים</w:t>
      </w:r>
      <w:bookmarkEnd w:id="2"/>
    </w:p>
    <w:p w14:paraId="7F6961A3" w14:textId="77777777" w:rsidR="00E13C27" w:rsidRPr="00F67051" w:rsidRDefault="00E13C27" w:rsidP="00E13C27">
      <w:pPr>
        <w:rPr>
          <w:b/>
          <w:bCs/>
          <w:sz w:val="26"/>
          <w:szCs w:val="26"/>
          <w:rtl/>
        </w:rPr>
      </w:pPr>
    </w:p>
    <w:p w14:paraId="7F6961AA" w14:textId="5DBE4D0D" w:rsidR="00E13C27" w:rsidRPr="00CF1AA2" w:rsidRDefault="008F6665" w:rsidP="0074759D">
      <w:pPr>
        <w:pStyle w:val="David"/>
        <w:ind w:left="3544"/>
        <w:rPr>
          <w:b/>
          <w:bCs/>
          <w:sz w:val="16"/>
          <w:szCs w:val="16"/>
          <w:rtl/>
        </w:rPr>
      </w:pPr>
      <w:bookmarkStart w:id="3" w:name="LGS_Initiators_List"/>
      <w:r>
        <w:rPr>
          <w:b/>
          <w:bCs/>
          <w:rtl/>
        </w:rPr>
        <w:t>יוזמים:      חברי הכנסת</w:t>
      </w:r>
      <w:bookmarkEnd w:id="3"/>
      <w:r w:rsidR="00B35784" w:rsidRPr="00F67051">
        <w:rPr>
          <w:b/>
          <w:bCs/>
        </w:rPr>
        <w:tab/>
      </w:r>
      <w:bookmarkStart w:id="4" w:name="LGS_PM_Names"/>
      <w:r>
        <w:rPr>
          <w:rFonts w:hint="cs"/>
          <w:b/>
          <w:bCs/>
          <w:rtl/>
        </w:rPr>
        <w:t>אלי אלאלוף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מירב בן ארי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שרן השכל</w:t>
      </w:r>
      <w:bookmarkEnd w:id="4"/>
    </w:p>
    <w:p w14:paraId="34DB4103" w14:textId="77777777" w:rsidR="00904591" w:rsidRPr="00904591" w:rsidRDefault="00266D86" w:rsidP="0036422C">
      <w:pPr>
        <w:pStyle w:val="David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76F8A6EB" w:rsidR="00E13C27" w:rsidRPr="00E06736" w:rsidRDefault="00904591" w:rsidP="00904591">
      <w:pPr>
        <w:pStyle w:val="David"/>
        <w:spacing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5" w:name="Private_Number"/>
      <w:r w:rsidR="003B3F06">
        <w:rPr>
          <w:rFonts w:hint="cs"/>
          <w:rtl/>
        </w:rPr>
        <w:t xml:space="preserve">      </w:t>
      </w:r>
      <w:r>
        <w:rPr>
          <w:rFonts w:hint="cs"/>
          <w:rtl/>
        </w:rPr>
        <w:t>פ/5295/20</w:t>
      </w:r>
      <w:bookmarkEnd w:id="5"/>
    </w:p>
    <w:p w14:paraId="7F6961AC" w14:textId="77777777" w:rsidR="00E13C27" w:rsidRDefault="00E13C27" w:rsidP="00E13C27">
      <w:pPr>
        <w:ind w:left="2880" w:firstLine="720"/>
        <w:rPr>
          <w:sz w:val="26"/>
          <w:szCs w:val="26"/>
          <w:rtl/>
        </w:rPr>
      </w:pPr>
    </w:p>
    <w:p w14:paraId="7F6961AD" w14:textId="77777777" w:rsidR="00E13C27" w:rsidRPr="00F67051" w:rsidRDefault="00A443CF" w:rsidP="0021633A">
      <w:pPr>
        <w:pStyle w:val="HeadHatzaotHok"/>
        <w:rPr>
          <w:rtl/>
        </w:rPr>
      </w:pPr>
      <w:bookmarkStart w:id="6" w:name="LGS_Subject"/>
      <w:r>
        <w:rPr>
          <w:rFonts w:hint="cs"/>
          <w:rtl/>
        </w:rPr>
        <w:t>הצעת חוק לתיקון פקודת הרוקחים (התאמות ייבוא וייצוא תמרוקים), התשע"ח–2018</w:t>
      </w:r>
      <w:bookmarkEnd w:id="6"/>
    </w:p>
    <w:p w14:paraId="7F6961AE" w14:textId="77777777" w:rsidR="00E13C27" w:rsidRDefault="00E13C27" w:rsidP="0061767A">
      <w:pPr>
        <w:pStyle w:val="HeadDivreiHesber"/>
        <w:spacing w:before="0" w:after="0"/>
        <w:jc w:val="both"/>
        <w:rPr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3"/>
      </w:tblGrid>
      <w:tr w:rsidR="0061767A" w14:paraId="035EEF3D" w14:textId="77777777" w:rsidTr="000474D0">
        <w:trPr>
          <w:cantSplit/>
        </w:trPr>
        <w:tc>
          <w:tcPr>
            <w:tcW w:w="1871" w:type="dxa"/>
          </w:tcPr>
          <w:p w14:paraId="3863FF98" w14:textId="049C3650" w:rsidR="0061767A" w:rsidRPr="0061767A" w:rsidRDefault="0061767A" w:rsidP="00406623">
            <w:pPr>
              <w:pStyle w:val="TableSideHeading"/>
              <w:keepLines w:val="0"/>
              <w:jc w:val="both"/>
            </w:pPr>
            <w:r w:rsidRPr="0061767A">
              <w:rPr>
                <w:rFonts w:hint="cs"/>
                <w:rtl/>
              </w:rPr>
              <w:t>תיקון סעיף 55א</w:t>
            </w:r>
          </w:p>
        </w:tc>
        <w:tc>
          <w:tcPr>
            <w:tcW w:w="624" w:type="dxa"/>
          </w:tcPr>
          <w:p w14:paraId="6F513EF6" w14:textId="55B0AD71" w:rsidR="0061767A" w:rsidRPr="0061767A" w:rsidRDefault="0061767A" w:rsidP="00406623">
            <w:pPr>
              <w:pStyle w:val="TableText"/>
              <w:keepLines w:val="0"/>
              <w:jc w:val="both"/>
            </w:pPr>
            <w:r w:rsidRPr="0061767A">
              <w:rPr>
                <w:rFonts w:hint="cs"/>
                <w:rtl/>
              </w:rPr>
              <w:t>1.</w:t>
            </w:r>
          </w:p>
        </w:tc>
        <w:tc>
          <w:tcPr>
            <w:tcW w:w="7143" w:type="dxa"/>
          </w:tcPr>
          <w:p w14:paraId="1AE94DEB" w14:textId="3E5919BF" w:rsidR="0061767A" w:rsidRPr="00465A57" w:rsidRDefault="0061767A" w:rsidP="00D63DF4">
            <w:pPr>
              <w:pStyle w:val="TableBlock"/>
            </w:pPr>
            <w:r w:rsidRPr="00465A57">
              <w:rPr>
                <w:rFonts w:hint="cs"/>
                <w:rtl/>
              </w:rPr>
              <w:t>בפקודת הרוקחים [נוסח חדש],</w:t>
            </w:r>
            <w:r w:rsidR="003B3F06">
              <w:rPr>
                <w:rFonts w:hint="cs"/>
                <w:rtl/>
              </w:rPr>
              <w:t xml:space="preserve"> התשמ"א</w:t>
            </w:r>
            <w:r w:rsidR="003B3F06">
              <w:rPr>
                <w:rFonts w:hint="eastAsia"/>
                <w:rtl/>
              </w:rPr>
              <w:t>–1981</w:t>
            </w:r>
            <w:r w:rsidR="00D63DF4">
              <w:rPr>
                <w:rStyle w:val="a5"/>
                <w:rtl/>
              </w:rPr>
              <w:footnoteReference w:id="2"/>
            </w:r>
            <w:r w:rsidRPr="00465A57">
              <w:rPr>
                <w:rFonts w:hint="cs"/>
                <w:rtl/>
              </w:rPr>
              <w:t xml:space="preserve"> </w:t>
            </w:r>
            <w:r w:rsidR="00465A57" w:rsidRPr="00465A57">
              <w:rPr>
                <w:rFonts w:hint="cs"/>
                <w:rtl/>
              </w:rPr>
              <w:t>(</w:t>
            </w:r>
            <w:r w:rsidRPr="00465A57">
              <w:rPr>
                <w:rFonts w:hint="cs"/>
                <w:rtl/>
              </w:rPr>
              <w:t xml:space="preserve">להלן </w:t>
            </w:r>
            <w:r w:rsidRPr="00465A57">
              <w:rPr>
                <w:rFonts w:hint="eastAsia"/>
                <w:rtl/>
              </w:rPr>
              <w:t>–</w:t>
            </w:r>
            <w:r w:rsidRPr="00465A57">
              <w:rPr>
                <w:rFonts w:hint="cs"/>
                <w:rtl/>
              </w:rPr>
              <w:t xml:space="preserve"> הפקודה), </w:t>
            </w:r>
            <w:r w:rsidRPr="00465A57">
              <w:rPr>
                <w:rtl/>
              </w:rPr>
              <w:br/>
            </w:r>
            <w:r w:rsidRPr="00465A57">
              <w:rPr>
                <w:rFonts w:hint="cs"/>
                <w:rtl/>
              </w:rPr>
              <w:t xml:space="preserve">בסעיף 55א </w:t>
            </w:r>
            <w:r w:rsidRPr="00465A57">
              <w:rPr>
                <w:rtl/>
              </w:rPr>
              <w:t>–</w:t>
            </w:r>
            <w:r w:rsidRPr="00465A57">
              <w:rPr>
                <w:rFonts w:hint="cs"/>
                <w:rtl/>
              </w:rPr>
              <w:t xml:space="preserve"> </w:t>
            </w:r>
          </w:p>
        </w:tc>
      </w:tr>
      <w:tr w:rsidR="00D63DF4" w14:paraId="079B2572" w14:textId="77777777" w:rsidTr="00C91E62">
        <w:trPr>
          <w:cantSplit/>
        </w:trPr>
        <w:tc>
          <w:tcPr>
            <w:tcW w:w="1871" w:type="dxa"/>
          </w:tcPr>
          <w:p w14:paraId="6BE04A2B" w14:textId="77777777" w:rsidR="00D63DF4" w:rsidRDefault="00D63DF4" w:rsidP="00406623">
            <w:pPr>
              <w:pStyle w:val="TableSideHeading"/>
              <w:jc w:val="both"/>
            </w:pPr>
          </w:p>
        </w:tc>
        <w:tc>
          <w:tcPr>
            <w:tcW w:w="624" w:type="dxa"/>
          </w:tcPr>
          <w:p w14:paraId="168A49C9" w14:textId="77777777" w:rsidR="00D63DF4" w:rsidRDefault="00D63DF4" w:rsidP="00406623">
            <w:pPr>
              <w:pStyle w:val="TableText"/>
              <w:jc w:val="both"/>
            </w:pPr>
          </w:p>
        </w:tc>
        <w:tc>
          <w:tcPr>
            <w:tcW w:w="7143" w:type="dxa"/>
          </w:tcPr>
          <w:p w14:paraId="18E79711" w14:textId="2FEDCDE1" w:rsidR="00D63DF4" w:rsidRDefault="00D63DF4" w:rsidP="000474D0">
            <w:pPr>
              <w:pStyle w:val="TableBlock"/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 w:rsidRPr="00E07D25">
              <w:rPr>
                <w:rFonts w:hint="eastAsia"/>
                <w:rtl/>
              </w:rPr>
              <w:t>בהגדר</w:t>
            </w:r>
            <w:r>
              <w:rPr>
                <w:rFonts w:hint="cs"/>
                <w:rtl/>
              </w:rPr>
              <w:t>ה</w:t>
            </w:r>
            <w:r w:rsidRPr="00E07D25">
              <w:rPr>
                <w:rtl/>
              </w:rPr>
              <w:t xml:space="preserve"> "עוסק בתמרוקים"</w:t>
            </w:r>
            <w:r>
              <w:rPr>
                <w:rFonts w:hint="cs"/>
                <w:rtl/>
              </w:rPr>
              <w:t>,</w:t>
            </w:r>
            <w:r w:rsidRPr="00E07D25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בסופה יבוא</w:t>
            </w:r>
            <w:r w:rsidRPr="00E07D25">
              <w:rPr>
                <w:rtl/>
              </w:rPr>
              <w:t xml:space="preserve"> "למעט דיילות קוסמטיקה וקוסמטיקאיות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;</w:t>
            </w:r>
          </w:p>
        </w:tc>
      </w:tr>
      <w:tr w:rsidR="00D63DF4" w14:paraId="38F56040" w14:textId="77777777" w:rsidTr="00873EC6">
        <w:trPr>
          <w:cantSplit/>
        </w:trPr>
        <w:tc>
          <w:tcPr>
            <w:tcW w:w="1871" w:type="dxa"/>
          </w:tcPr>
          <w:p w14:paraId="22342B09" w14:textId="77777777" w:rsidR="00D63DF4" w:rsidRDefault="00D63DF4" w:rsidP="00406623">
            <w:pPr>
              <w:pStyle w:val="TableSideHeading"/>
              <w:jc w:val="both"/>
            </w:pPr>
          </w:p>
        </w:tc>
        <w:tc>
          <w:tcPr>
            <w:tcW w:w="624" w:type="dxa"/>
          </w:tcPr>
          <w:p w14:paraId="4663B257" w14:textId="77777777" w:rsidR="00D63DF4" w:rsidRDefault="00D63DF4" w:rsidP="00406623">
            <w:pPr>
              <w:pStyle w:val="TableText"/>
              <w:jc w:val="both"/>
            </w:pPr>
          </w:p>
        </w:tc>
        <w:tc>
          <w:tcPr>
            <w:tcW w:w="7143" w:type="dxa"/>
          </w:tcPr>
          <w:p w14:paraId="7697CF37" w14:textId="60C1E2FA" w:rsidR="00D63DF4" w:rsidRDefault="00D63DF4" w:rsidP="000474D0">
            <w:pPr>
              <w:pStyle w:val="TableBlock"/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בהגדרה "תמרוק", במקום "למעט תכשיר או ציוד רפואי" יבוא "למעט בושם המכיל אלכוהול בריכוז העולה על 85%, סבון מוצק, תכשיר או ציוד רפואי;".</w:t>
            </w:r>
          </w:p>
        </w:tc>
      </w:tr>
      <w:tr w:rsidR="0061767A" w14:paraId="3D9B61D1" w14:textId="77777777" w:rsidTr="000474D0">
        <w:trPr>
          <w:cantSplit/>
        </w:trPr>
        <w:tc>
          <w:tcPr>
            <w:tcW w:w="1871" w:type="dxa"/>
          </w:tcPr>
          <w:p w14:paraId="6C0CB9D8" w14:textId="296BAB7A" w:rsidR="0061767A" w:rsidRDefault="0061767A" w:rsidP="00406623">
            <w:pPr>
              <w:pStyle w:val="TableSideHeading"/>
              <w:keepLines w:val="0"/>
              <w:jc w:val="both"/>
            </w:pPr>
            <w:r>
              <w:rPr>
                <w:rFonts w:hint="cs"/>
                <w:rtl/>
              </w:rPr>
              <w:t>תיקון סעיף 55א3</w:t>
            </w:r>
          </w:p>
        </w:tc>
        <w:tc>
          <w:tcPr>
            <w:tcW w:w="624" w:type="dxa"/>
          </w:tcPr>
          <w:p w14:paraId="3F4286A2" w14:textId="229E3579" w:rsidR="0061767A" w:rsidRDefault="0061767A" w:rsidP="00406623">
            <w:pPr>
              <w:pStyle w:val="TableText"/>
              <w:keepLines w:val="0"/>
              <w:jc w:val="both"/>
            </w:pPr>
            <w:r>
              <w:rPr>
                <w:rFonts w:hint="cs"/>
                <w:rtl/>
              </w:rPr>
              <w:t xml:space="preserve">2. </w:t>
            </w:r>
          </w:p>
        </w:tc>
        <w:tc>
          <w:tcPr>
            <w:tcW w:w="7143" w:type="dxa"/>
          </w:tcPr>
          <w:p w14:paraId="7633D5BB" w14:textId="39A062E4" w:rsidR="0061767A" w:rsidRPr="00C34DE2" w:rsidRDefault="0061767A" w:rsidP="000474D0">
            <w:pPr>
              <w:pStyle w:val="TableBlock"/>
            </w:pPr>
            <w:r>
              <w:rPr>
                <w:rFonts w:hint="cs"/>
                <w:rtl/>
              </w:rPr>
              <w:t>בסעיף 55א3(ח) לפקודה, במקום "12 חודשים" יבוא "</w:t>
            </w:r>
            <w:r w:rsidR="00C30EBD">
              <w:rPr>
                <w:rFonts w:hint="cs"/>
                <w:rtl/>
              </w:rPr>
              <w:t>שישה</w:t>
            </w:r>
            <w:r>
              <w:rPr>
                <w:rFonts w:hint="cs"/>
                <w:rtl/>
              </w:rPr>
              <w:t xml:space="preserve"> חודשים". </w:t>
            </w:r>
          </w:p>
        </w:tc>
      </w:tr>
      <w:tr w:rsidR="0061767A" w14:paraId="32E4E68B" w14:textId="77777777" w:rsidTr="000474D0">
        <w:trPr>
          <w:cantSplit/>
        </w:trPr>
        <w:tc>
          <w:tcPr>
            <w:tcW w:w="1871" w:type="dxa"/>
          </w:tcPr>
          <w:p w14:paraId="324C15C5" w14:textId="3DBB3208" w:rsidR="0061767A" w:rsidRDefault="0061767A" w:rsidP="00406623">
            <w:pPr>
              <w:pStyle w:val="TableSideHeading"/>
              <w:keepLines w:val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תיקון סעיף 55א6</w:t>
            </w:r>
          </w:p>
        </w:tc>
        <w:tc>
          <w:tcPr>
            <w:tcW w:w="624" w:type="dxa"/>
          </w:tcPr>
          <w:p w14:paraId="2BEBFC49" w14:textId="2F34EA28" w:rsidR="0061767A" w:rsidRDefault="0061767A" w:rsidP="00406623">
            <w:pPr>
              <w:pStyle w:val="TableText"/>
              <w:keepLines w:val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7143" w:type="dxa"/>
          </w:tcPr>
          <w:p w14:paraId="173A4E92" w14:textId="122F5ACD" w:rsidR="0061767A" w:rsidRDefault="0061767A" w:rsidP="000474D0">
            <w:pPr>
              <w:pStyle w:val="TableBlock"/>
              <w:rPr>
                <w:rtl/>
              </w:rPr>
            </w:pPr>
            <w:r w:rsidRPr="00D64732">
              <w:rPr>
                <w:rFonts w:hint="cs"/>
                <w:rtl/>
              </w:rPr>
              <w:t xml:space="preserve">בסעיף 55א6(ב) </w:t>
            </w:r>
            <w:r>
              <w:rPr>
                <w:rFonts w:hint="cs"/>
                <w:rtl/>
              </w:rPr>
              <w:t xml:space="preserve">לפקודה, </w:t>
            </w:r>
            <w:r w:rsidRPr="00D64732">
              <w:rPr>
                <w:rFonts w:hint="cs"/>
                <w:rtl/>
              </w:rPr>
              <w:t>במקום "למעט</w:t>
            </w:r>
            <w:r>
              <w:rPr>
                <w:rFonts w:hint="cs"/>
                <w:rtl/>
              </w:rPr>
              <w:t xml:space="preserve"> תאגיד</w:t>
            </w:r>
            <w:r w:rsidRPr="00D64732">
              <w:rPr>
                <w:rFonts w:hint="cs"/>
                <w:rtl/>
              </w:rPr>
              <w:t xml:space="preserve">" </w:t>
            </w:r>
            <w:r>
              <w:rPr>
                <w:rFonts w:hint="cs"/>
                <w:rtl/>
              </w:rPr>
              <w:t>י</w:t>
            </w:r>
            <w:r w:rsidRPr="00D64732">
              <w:rPr>
                <w:rFonts w:hint="cs"/>
                <w:rtl/>
              </w:rPr>
              <w:t>בוא "לרבות</w:t>
            </w:r>
            <w:r>
              <w:rPr>
                <w:rFonts w:hint="cs"/>
                <w:rtl/>
              </w:rPr>
              <w:t xml:space="preserve"> תאגיד</w:t>
            </w:r>
            <w:r w:rsidRPr="00D64732">
              <w:rPr>
                <w:rFonts w:hint="cs"/>
                <w:rtl/>
              </w:rPr>
              <w:t>".</w:t>
            </w:r>
          </w:p>
        </w:tc>
      </w:tr>
      <w:tr w:rsidR="00406623" w14:paraId="510F4BBD" w14:textId="77777777" w:rsidTr="000474D0">
        <w:trPr>
          <w:cantSplit/>
        </w:trPr>
        <w:tc>
          <w:tcPr>
            <w:tcW w:w="1871" w:type="dxa"/>
          </w:tcPr>
          <w:p w14:paraId="48668E5F" w14:textId="72A7DBA7" w:rsidR="00406623" w:rsidRDefault="00406623" w:rsidP="00406623">
            <w:pPr>
              <w:pStyle w:val="TableSideHeading"/>
              <w:keepLines w:val="0"/>
              <w:jc w:val="both"/>
              <w:rPr>
                <w:rtl/>
              </w:rPr>
            </w:pPr>
            <w:r w:rsidRPr="00CF6CCF">
              <w:rPr>
                <w:rFonts w:hint="eastAsia"/>
                <w:rtl/>
              </w:rPr>
              <w:t>תיקון</w:t>
            </w:r>
            <w:r w:rsidRPr="00CF6CCF">
              <w:rPr>
                <w:rtl/>
              </w:rPr>
              <w:t xml:space="preserve"> </w:t>
            </w:r>
            <w:r w:rsidRPr="00CF6CCF">
              <w:rPr>
                <w:rFonts w:hint="eastAsia"/>
                <w:rtl/>
              </w:rPr>
              <w:t>סעיף</w:t>
            </w:r>
            <w:r w:rsidRPr="00CF6CCF">
              <w:rPr>
                <w:rtl/>
              </w:rPr>
              <w:t>55א12</w:t>
            </w:r>
          </w:p>
        </w:tc>
        <w:tc>
          <w:tcPr>
            <w:tcW w:w="624" w:type="dxa"/>
          </w:tcPr>
          <w:p w14:paraId="2170A6BC" w14:textId="29B775D6" w:rsidR="00406623" w:rsidRDefault="00406623" w:rsidP="00406623">
            <w:pPr>
              <w:pStyle w:val="TableText"/>
              <w:keepLines w:val="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4. </w:t>
            </w:r>
          </w:p>
        </w:tc>
        <w:tc>
          <w:tcPr>
            <w:tcW w:w="7143" w:type="dxa"/>
          </w:tcPr>
          <w:p w14:paraId="79B93410" w14:textId="31E328FA" w:rsidR="00406623" w:rsidRPr="00D64732" w:rsidRDefault="00406623" w:rsidP="000474D0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  <w:r w:rsidRPr="00D50F72">
              <w:rPr>
                <w:rFonts w:hint="cs"/>
                <w:rtl/>
              </w:rPr>
              <w:t>סעיף 55א</w:t>
            </w:r>
            <w:r>
              <w:rPr>
                <w:rFonts w:hint="cs"/>
                <w:rtl/>
              </w:rPr>
              <w:t xml:space="preserve">12(א)(3) לפקודה, במקום "מדי שישה חודשים" יבוא "מדי שנה".  </w:t>
            </w:r>
          </w:p>
        </w:tc>
      </w:tr>
      <w:tr w:rsidR="00406623" w14:paraId="0996EA48" w14:textId="77777777" w:rsidTr="000474D0">
        <w:trPr>
          <w:cantSplit/>
        </w:trPr>
        <w:tc>
          <w:tcPr>
            <w:tcW w:w="1871" w:type="dxa"/>
          </w:tcPr>
          <w:p w14:paraId="1F1A0999" w14:textId="28F73963" w:rsidR="00406623" w:rsidRDefault="00406623" w:rsidP="00406623">
            <w:pPr>
              <w:pStyle w:val="TableSideHeading"/>
              <w:keepLines w:val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תיקון סעיף 55ג1</w:t>
            </w:r>
          </w:p>
        </w:tc>
        <w:tc>
          <w:tcPr>
            <w:tcW w:w="624" w:type="dxa"/>
          </w:tcPr>
          <w:p w14:paraId="44EF0527" w14:textId="427C6504" w:rsidR="00406623" w:rsidRDefault="00406623" w:rsidP="00406623">
            <w:pPr>
              <w:pStyle w:val="TableText"/>
              <w:keepLines w:val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143" w:type="dxa"/>
          </w:tcPr>
          <w:p w14:paraId="20A58974" w14:textId="7C2CE6ED" w:rsidR="00406623" w:rsidRDefault="00406623" w:rsidP="000474D0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בסעיף</w:t>
            </w:r>
            <w:r w:rsidRPr="00C8634B">
              <w:rPr>
                <w:rFonts w:hint="cs"/>
                <w:rtl/>
              </w:rPr>
              <w:t> </w:t>
            </w:r>
            <w:r w:rsidRPr="00C8634B">
              <w:rPr>
                <w:rtl/>
              </w:rPr>
              <w:t>55ג1</w:t>
            </w:r>
            <w:r w:rsidRPr="00C8634B">
              <w:rPr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 xml:space="preserve">לפקודה, </w:t>
            </w:r>
            <w:r w:rsidR="00C30EBD">
              <w:rPr>
                <w:rFonts w:hint="cs"/>
                <w:rtl/>
              </w:rPr>
              <w:t>בסופו יבוא</w:t>
            </w:r>
            <w:r>
              <w:rPr>
                <w:rFonts w:hint="cs"/>
                <w:rtl/>
              </w:rPr>
              <w:t>:</w:t>
            </w:r>
            <w:r w:rsidRPr="00C8634B">
              <w:rPr>
                <w:rFonts w:hint="cs"/>
                <w:rtl/>
              </w:rPr>
              <w:t xml:space="preserve"> </w:t>
            </w:r>
          </w:p>
        </w:tc>
      </w:tr>
      <w:tr w:rsidR="00D63DF4" w14:paraId="211F7B05" w14:textId="77777777" w:rsidTr="000E5FF4">
        <w:trPr>
          <w:cantSplit/>
        </w:trPr>
        <w:tc>
          <w:tcPr>
            <w:tcW w:w="1871" w:type="dxa"/>
          </w:tcPr>
          <w:p w14:paraId="38A0A008" w14:textId="77777777" w:rsidR="00D63DF4" w:rsidRDefault="00D63DF4">
            <w:pPr>
              <w:pStyle w:val="TableSideHeading"/>
            </w:pPr>
          </w:p>
        </w:tc>
        <w:tc>
          <w:tcPr>
            <w:tcW w:w="624" w:type="dxa"/>
          </w:tcPr>
          <w:p w14:paraId="052829AD" w14:textId="77777777" w:rsidR="00D63DF4" w:rsidRDefault="00D63DF4">
            <w:pPr>
              <w:pStyle w:val="TableText"/>
            </w:pPr>
          </w:p>
        </w:tc>
        <w:tc>
          <w:tcPr>
            <w:tcW w:w="7143" w:type="dxa"/>
          </w:tcPr>
          <w:p w14:paraId="7FA2BC51" w14:textId="20A83BB7" w:rsidR="00D63DF4" w:rsidRDefault="00D63DF4" w:rsidP="000474D0">
            <w:pPr>
              <w:pStyle w:val="TableBlock"/>
            </w:pPr>
            <w:r w:rsidRPr="00C8634B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(ט)</w:t>
            </w:r>
            <w:r>
              <w:rPr>
                <w:rtl/>
              </w:rPr>
              <w:tab/>
            </w:r>
            <w:r w:rsidRPr="00C8634B">
              <w:rPr>
                <w:rFonts w:hint="cs"/>
                <w:rtl/>
              </w:rPr>
              <w:t>על אף האמור בסעיף קטן (א)</w:t>
            </w:r>
            <w:r>
              <w:rPr>
                <w:rFonts w:hint="cs"/>
                <w:rtl/>
              </w:rPr>
              <w:t>,</w:t>
            </w:r>
            <w:r w:rsidRPr="00C8634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לעניין </w:t>
            </w:r>
            <w:r w:rsidRPr="00C8634B">
              <w:rPr>
                <w:rFonts w:hint="cs"/>
                <w:rtl/>
              </w:rPr>
              <w:t>יבואן אשר מבקש לייבא</w:t>
            </w:r>
            <w:r>
              <w:rPr>
                <w:rFonts w:hint="cs"/>
                <w:rtl/>
              </w:rPr>
              <w:t xml:space="preserve"> לישראל</w:t>
            </w:r>
            <w:r w:rsidRPr="00C8634B">
              <w:rPr>
                <w:rFonts w:hint="cs"/>
                <w:rtl/>
              </w:rPr>
              <w:t xml:space="preserve"> תמרוק</w:t>
            </w:r>
            <w:r>
              <w:rPr>
                <w:rFonts w:hint="cs"/>
                <w:rtl/>
              </w:rPr>
              <w:t xml:space="preserve"> </w:t>
            </w:r>
            <w:r w:rsidRPr="00C8634B">
              <w:rPr>
                <w:rFonts w:hint="cs"/>
                <w:rtl/>
              </w:rPr>
              <w:t>שאינו משווק במדינה מוכרת</w:t>
            </w:r>
            <w:r>
              <w:rPr>
                <w:rFonts w:hint="cs"/>
                <w:rtl/>
              </w:rPr>
              <w:t xml:space="preserve"> ושווק בעבר בישראל</w:t>
            </w:r>
            <w:r w:rsidRPr="00C8634B">
              <w:rPr>
                <w:rFonts w:hint="cs"/>
                <w:rtl/>
              </w:rPr>
              <w:t xml:space="preserve">, יראו בישראל כמדינה מוכרת </w:t>
            </w:r>
            <w:r>
              <w:rPr>
                <w:rFonts w:hint="cs"/>
                <w:rtl/>
              </w:rPr>
              <w:t>ובשיווק המוצר בישראל כשיווק חופשי במדינה מוכרת עבור אותו מוצר; לא שווק התמרוק בישראל בעבר יוכל היבואן לייבא את התמרוק</w:t>
            </w:r>
            <w:r w:rsidRPr="00C8634B">
              <w:rPr>
                <w:rFonts w:hint="cs"/>
                <w:rtl/>
              </w:rPr>
              <w:t xml:space="preserve"> בכפוף לקבלת היתר </w:t>
            </w:r>
            <w:r>
              <w:rPr>
                <w:rFonts w:hint="cs"/>
                <w:rtl/>
              </w:rPr>
              <w:t xml:space="preserve">מראש </w:t>
            </w:r>
            <w:r w:rsidRPr="00C8634B">
              <w:rPr>
                <w:rFonts w:hint="cs"/>
                <w:rtl/>
              </w:rPr>
              <w:t>מהמנהל, בהתאם לעמידה בדרישות חוק זה</w:t>
            </w:r>
            <w:r>
              <w:rPr>
                <w:rFonts w:hint="cs"/>
                <w:rtl/>
              </w:rPr>
              <w:t>, והכל לפי הוראות שיקבע השר לעניין זה</w:t>
            </w:r>
            <w:r w:rsidRPr="00C8634B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"</w:t>
            </w:r>
          </w:p>
        </w:tc>
      </w:tr>
      <w:tr w:rsidR="00406623" w14:paraId="3B5192D6" w14:textId="77777777" w:rsidTr="000474D0">
        <w:trPr>
          <w:cantSplit/>
        </w:trPr>
        <w:tc>
          <w:tcPr>
            <w:tcW w:w="1871" w:type="dxa"/>
          </w:tcPr>
          <w:p w14:paraId="1A14AC42" w14:textId="2B008210" w:rsidR="00406623" w:rsidRDefault="00406623" w:rsidP="00406623">
            <w:pPr>
              <w:pStyle w:val="TableSideHeading"/>
              <w:keepLines w:val="0"/>
              <w:jc w:val="both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תיקון סעיף 61</w:t>
            </w:r>
          </w:p>
        </w:tc>
        <w:tc>
          <w:tcPr>
            <w:tcW w:w="624" w:type="dxa"/>
          </w:tcPr>
          <w:p w14:paraId="2621213E" w14:textId="4DD80124" w:rsidR="00406623" w:rsidRDefault="00406623" w:rsidP="00406623">
            <w:pPr>
              <w:pStyle w:val="TableText"/>
              <w:keepLines w:val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7143" w:type="dxa"/>
          </w:tcPr>
          <w:p w14:paraId="60050304" w14:textId="5C360C69" w:rsidR="00406623" w:rsidRDefault="00406623" w:rsidP="000474D0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בסעיף 61(3ב) לפקודה, אחרי "לפי המלצת המנהל" יבוא "ובהתייעצות עם שר הכלכלה</w:t>
            </w:r>
            <w:r w:rsidR="00D63DF4">
              <w:rPr>
                <w:rFonts w:hint="cs"/>
                <w:rtl/>
              </w:rPr>
              <w:t xml:space="preserve"> והתעשייה</w:t>
            </w:r>
            <w:r>
              <w:rPr>
                <w:rFonts w:hint="cs"/>
                <w:rtl/>
              </w:rPr>
              <w:t>".</w:t>
            </w:r>
          </w:p>
        </w:tc>
      </w:tr>
      <w:tr w:rsidR="00406623" w14:paraId="51ABDB89" w14:textId="77777777" w:rsidTr="000474D0">
        <w:trPr>
          <w:cantSplit/>
        </w:trPr>
        <w:tc>
          <w:tcPr>
            <w:tcW w:w="1871" w:type="dxa"/>
          </w:tcPr>
          <w:p w14:paraId="235B0B2E" w14:textId="7CD143CD" w:rsidR="00406623" w:rsidRPr="000474D0" w:rsidRDefault="00347B1D" w:rsidP="000474D0">
            <w:pPr>
              <w:pStyle w:val="TableInnerSideHeading"/>
              <w:rPr>
                <w:rtl/>
              </w:rPr>
            </w:pPr>
            <w:r w:rsidRPr="000474D0">
              <w:rPr>
                <w:rFonts w:hint="cs"/>
                <w:rtl/>
              </w:rPr>
              <w:t xml:space="preserve">תיקון </w:t>
            </w:r>
            <w:r w:rsidR="00406623" w:rsidRPr="000474D0">
              <w:rPr>
                <w:rFonts w:hint="cs"/>
                <w:rtl/>
              </w:rPr>
              <w:t>תוספת רביעית ב'</w:t>
            </w:r>
          </w:p>
        </w:tc>
        <w:tc>
          <w:tcPr>
            <w:tcW w:w="624" w:type="dxa"/>
          </w:tcPr>
          <w:p w14:paraId="76C8ABDD" w14:textId="1C87F753" w:rsidR="00406623" w:rsidRDefault="00406623" w:rsidP="00406623">
            <w:pPr>
              <w:pStyle w:val="TableText"/>
              <w:keepLines w:val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7143" w:type="dxa"/>
          </w:tcPr>
          <w:p w14:paraId="0B763A6B" w14:textId="3ADD9BF0" w:rsidR="00406623" w:rsidRDefault="00347B1D" w:rsidP="000474D0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בתוספת </w:t>
            </w:r>
            <w:r w:rsidR="00406623">
              <w:rPr>
                <w:rFonts w:hint="cs"/>
                <w:rtl/>
              </w:rPr>
              <w:t>רביעית ב' לפקודה, בסופה יבוא:</w:t>
            </w:r>
          </w:p>
        </w:tc>
      </w:tr>
      <w:tr w:rsidR="00D63DF4" w14:paraId="3FC269AF" w14:textId="77777777" w:rsidTr="00BD4B40">
        <w:trPr>
          <w:cantSplit/>
        </w:trPr>
        <w:tc>
          <w:tcPr>
            <w:tcW w:w="1871" w:type="dxa"/>
          </w:tcPr>
          <w:p w14:paraId="4832F8FA" w14:textId="77777777" w:rsidR="00D63DF4" w:rsidRDefault="00D63DF4" w:rsidP="00406623">
            <w:pPr>
              <w:pStyle w:val="TableSideHeading"/>
              <w:jc w:val="both"/>
            </w:pPr>
          </w:p>
        </w:tc>
        <w:tc>
          <w:tcPr>
            <w:tcW w:w="624" w:type="dxa"/>
          </w:tcPr>
          <w:p w14:paraId="66867878" w14:textId="77777777" w:rsidR="00D63DF4" w:rsidRDefault="00D63DF4" w:rsidP="00406623">
            <w:pPr>
              <w:pStyle w:val="TableText"/>
              <w:jc w:val="both"/>
            </w:pPr>
          </w:p>
        </w:tc>
        <w:tc>
          <w:tcPr>
            <w:tcW w:w="7143" w:type="dxa"/>
          </w:tcPr>
          <w:p w14:paraId="57C1C57E" w14:textId="799C783A" w:rsidR="00D63DF4" w:rsidRDefault="00D63DF4" w:rsidP="000474D0">
            <w:pPr>
              <w:pStyle w:val="TableBlock"/>
            </w:pPr>
            <w:r>
              <w:rPr>
                <w:rFonts w:hint="cs"/>
                <w:rtl/>
              </w:rPr>
              <w:t>"(10)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ישראל"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67264325" w14:textId="7779BFAE" w:rsidR="00406623" w:rsidRPr="00D63DF4" w:rsidRDefault="00406623" w:rsidP="00D63DF4">
      <w:pPr>
        <w:pStyle w:val="Hesber"/>
        <w:spacing w:after="0"/>
        <w:ind w:left="0" w:firstLine="340"/>
        <w:rPr>
          <w:rtl/>
        </w:rPr>
      </w:pPr>
      <w:r w:rsidRPr="00D63DF4">
        <w:rPr>
          <w:rtl/>
        </w:rPr>
        <w:t xml:space="preserve">הצעת חוק זו </w:t>
      </w:r>
      <w:r w:rsidR="00D63DF4" w:rsidRPr="00D63DF4">
        <w:rPr>
          <w:rFonts w:hint="cs"/>
          <w:rtl/>
        </w:rPr>
        <w:t>נועדה</w:t>
      </w:r>
      <w:r w:rsidR="00347B1D" w:rsidRPr="00D63DF4">
        <w:rPr>
          <w:rFonts w:hint="cs"/>
          <w:rtl/>
        </w:rPr>
        <w:t xml:space="preserve"> לערוך מספר תיקונים בפקודת הרוקחים [נוסח חדש], התשמ"א</w:t>
      </w:r>
      <w:r w:rsidR="00D63DF4">
        <w:rPr>
          <w:rFonts w:hint="eastAsia"/>
          <w:rtl/>
        </w:rPr>
        <w:t>–</w:t>
      </w:r>
      <w:r w:rsidR="00347B1D" w:rsidRPr="00D63DF4">
        <w:rPr>
          <w:rFonts w:hint="cs"/>
          <w:rtl/>
        </w:rPr>
        <w:t xml:space="preserve">1981 (להלן </w:t>
      </w:r>
      <w:r w:rsidR="00347B1D" w:rsidRPr="00D63DF4">
        <w:rPr>
          <w:rtl/>
        </w:rPr>
        <w:t>–</w:t>
      </w:r>
      <w:r w:rsidR="00347B1D" w:rsidRPr="00D63DF4">
        <w:rPr>
          <w:rFonts w:hint="cs"/>
          <w:rtl/>
        </w:rPr>
        <w:t xml:space="preserve"> הפקודה)</w:t>
      </w:r>
      <w:r w:rsidR="00D63DF4">
        <w:rPr>
          <w:rFonts w:hint="cs"/>
          <w:rtl/>
        </w:rPr>
        <w:t>,</w:t>
      </w:r>
      <w:r w:rsidRPr="00D63DF4">
        <w:rPr>
          <w:rtl/>
        </w:rPr>
        <w:t xml:space="preserve"> ול</w:t>
      </w:r>
      <w:r w:rsidR="00347B1D" w:rsidRPr="00D63DF4">
        <w:rPr>
          <w:rFonts w:hint="cs"/>
          <w:rtl/>
        </w:rPr>
        <w:t>תת מענה ל</w:t>
      </w:r>
      <w:r w:rsidRPr="00D63DF4">
        <w:rPr>
          <w:rtl/>
        </w:rPr>
        <w:t>בעיות</w:t>
      </w:r>
      <w:r w:rsidR="00347B1D" w:rsidRPr="00D63DF4">
        <w:rPr>
          <w:rFonts w:hint="cs"/>
          <w:rtl/>
        </w:rPr>
        <w:t xml:space="preserve"> וקשיים</w:t>
      </w:r>
      <w:r w:rsidRPr="00D63DF4">
        <w:rPr>
          <w:rtl/>
        </w:rPr>
        <w:t xml:space="preserve"> אשר </w:t>
      </w:r>
      <w:r w:rsidR="00347B1D" w:rsidRPr="00D63DF4">
        <w:rPr>
          <w:rFonts w:hint="cs"/>
          <w:rtl/>
        </w:rPr>
        <w:t>התעוררו מאז נכנס לתוקפו תיקון הפקודה בעניין אסדרת ענף התמרוקים שנערך במסגרת חוק התכנית הכלכלית (תיקוני חקיקה ליישום המדיניות הכלכלית לשנות התקציב 2017 ו-2018), התשע"ז–2016.</w:t>
      </w:r>
      <w:r w:rsidRPr="00D63DF4">
        <w:rPr>
          <w:rFonts w:hint="cs"/>
          <w:rtl/>
        </w:rPr>
        <w:t xml:space="preserve"> </w:t>
      </w:r>
    </w:p>
    <w:p w14:paraId="52DD57D7" w14:textId="729F59C2" w:rsidR="007567D3" w:rsidRPr="00D63DF4" w:rsidRDefault="007567D3" w:rsidP="00D63DF4">
      <w:pPr>
        <w:pStyle w:val="Hesber"/>
        <w:spacing w:after="0"/>
        <w:ind w:left="0" w:firstLine="340"/>
        <w:rPr>
          <w:rtl/>
        </w:rPr>
      </w:pPr>
      <w:r w:rsidRPr="00D63DF4">
        <w:rPr>
          <w:rFonts w:hint="cs"/>
          <w:rtl/>
        </w:rPr>
        <w:t xml:space="preserve">ראשית מוצע להחריג </w:t>
      </w:r>
      <w:r w:rsidRPr="00D63DF4">
        <w:rPr>
          <w:rtl/>
        </w:rPr>
        <w:t>דיילות קוסמטיקה וקוסמטיקאיות</w:t>
      </w:r>
      <w:r w:rsidRPr="00D63DF4">
        <w:rPr>
          <w:rFonts w:hint="cs"/>
          <w:rtl/>
        </w:rPr>
        <w:t xml:space="preserve"> מהגדרת "עוסק בתמרוקים" לגבי</w:t>
      </w:r>
      <w:r w:rsidR="00D63DF4">
        <w:rPr>
          <w:rFonts w:hint="cs"/>
          <w:rtl/>
        </w:rPr>
        <w:t>ה</w:t>
      </w:r>
      <w:r w:rsidRPr="00D63DF4">
        <w:rPr>
          <w:rFonts w:hint="cs"/>
          <w:rtl/>
        </w:rPr>
        <w:t xml:space="preserve"> חלות הוראות הפקודה, עקב השוני בתפקידן ובתחומי אחריותן בנושא התמרוקים ולמנוע החמרה ברגולציה כלפיהן, שכן החמרה שכזו עלולה להוביל לפגיעה ניכרת בפרנסתן. </w:t>
      </w:r>
    </w:p>
    <w:p w14:paraId="7D13798F" w14:textId="0BC74DC6" w:rsidR="007567D3" w:rsidRPr="00D63DF4" w:rsidRDefault="00D63DF4" w:rsidP="00D63DF4">
      <w:pPr>
        <w:pStyle w:val="Hesber"/>
        <w:spacing w:after="0"/>
        <w:ind w:left="0" w:firstLine="340"/>
        <w:rPr>
          <w:rtl/>
        </w:rPr>
      </w:pPr>
      <w:r>
        <w:rPr>
          <w:rFonts w:hint="cs"/>
          <w:rtl/>
        </w:rPr>
        <w:t>כמו כן,</w:t>
      </w:r>
      <w:r w:rsidR="007567D3" w:rsidRPr="00D63DF4">
        <w:rPr>
          <w:rFonts w:hint="cs"/>
          <w:rtl/>
        </w:rPr>
        <w:t xml:space="preserve"> מוצע </w:t>
      </w:r>
      <w:r w:rsidR="00406623" w:rsidRPr="00D63DF4">
        <w:rPr>
          <w:rFonts w:hint="cs"/>
          <w:rtl/>
        </w:rPr>
        <w:t>להחריג</w:t>
      </w:r>
      <w:r w:rsidR="007567D3" w:rsidRPr="00D63DF4">
        <w:rPr>
          <w:rFonts w:hint="cs"/>
          <w:rtl/>
        </w:rPr>
        <w:t xml:space="preserve"> מהגדרת "תמרוק"</w:t>
      </w:r>
      <w:r w:rsidR="00406623" w:rsidRPr="00D63DF4">
        <w:rPr>
          <w:rFonts w:hint="cs"/>
          <w:rtl/>
        </w:rPr>
        <w:t xml:space="preserve"> את </w:t>
      </w:r>
      <w:r w:rsidR="007567D3" w:rsidRPr="00D63DF4">
        <w:rPr>
          <w:rFonts w:hint="cs"/>
          <w:rtl/>
        </w:rPr>
        <w:t xml:space="preserve">מוצרי </w:t>
      </w:r>
      <w:r w:rsidR="00406623" w:rsidRPr="00D63DF4">
        <w:rPr>
          <w:rFonts w:hint="cs"/>
          <w:rtl/>
        </w:rPr>
        <w:t>הבישום והסבונים המוצקים ולה</w:t>
      </w:r>
      <w:r w:rsidR="007567D3" w:rsidRPr="00D63DF4">
        <w:rPr>
          <w:rFonts w:hint="cs"/>
          <w:rtl/>
        </w:rPr>
        <w:t>ותיר</w:t>
      </w:r>
      <w:r w:rsidR="00406623" w:rsidRPr="00D63DF4">
        <w:rPr>
          <w:rFonts w:hint="cs"/>
          <w:rtl/>
        </w:rPr>
        <w:t xml:space="preserve"> את המצב הרגולטורי הקיים עבור מוצרים אלו</w:t>
      </w:r>
      <w:r w:rsidR="007567D3" w:rsidRPr="00D63DF4">
        <w:rPr>
          <w:rFonts w:hint="cs"/>
          <w:rtl/>
        </w:rPr>
        <w:t xml:space="preserve"> על כנו</w:t>
      </w:r>
      <w:r w:rsidR="00406623" w:rsidRPr="00D63DF4">
        <w:rPr>
          <w:rFonts w:hint="cs"/>
          <w:rtl/>
        </w:rPr>
        <w:t>. הכללת בשמים וסבונים קשיחים בהגדרת תמרוק מהוו</w:t>
      </w:r>
      <w:r>
        <w:rPr>
          <w:rFonts w:hint="cs"/>
          <w:rtl/>
        </w:rPr>
        <w:t>ה</w:t>
      </w:r>
      <w:r w:rsidR="00406623" w:rsidRPr="00D63DF4">
        <w:rPr>
          <w:rFonts w:hint="cs"/>
          <w:rtl/>
        </w:rPr>
        <w:t xml:space="preserve"> החמרה ברגולציה לעומת ה</w:t>
      </w:r>
      <w:r w:rsidR="007567D3" w:rsidRPr="00D63DF4">
        <w:rPr>
          <w:rFonts w:hint="cs"/>
          <w:rtl/>
        </w:rPr>
        <w:t>מצב ה</w:t>
      </w:r>
      <w:r w:rsidR="00406623" w:rsidRPr="00D63DF4">
        <w:rPr>
          <w:rFonts w:hint="cs"/>
          <w:rtl/>
        </w:rPr>
        <w:t>קיים כיום</w:t>
      </w:r>
      <w:r w:rsidR="007567D3" w:rsidRPr="00D63DF4">
        <w:rPr>
          <w:rFonts w:hint="cs"/>
          <w:rtl/>
        </w:rPr>
        <w:t>,</w:t>
      </w:r>
      <w:r w:rsidR="00406623" w:rsidRPr="00D63DF4">
        <w:rPr>
          <w:rFonts w:hint="cs"/>
          <w:rtl/>
        </w:rPr>
        <w:t xml:space="preserve"> עובדה אשר תשית </w:t>
      </w:r>
      <w:r w:rsidR="007567D3" w:rsidRPr="00D63DF4">
        <w:rPr>
          <w:rFonts w:hint="cs"/>
          <w:rtl/>
        </w:rPr>
        <w:t>על יצרני ויבואני מוצרים אלו</w:t>
      </w:r>
      <w:r w:rsidR="00406623" w:rsidRPr="00D63DF4">
        <w:rPr>
          <w:rFonts w:hint="cs"/>
          <w:rtl/>
        </w:rPr>
        <w:t xml:space="preserve"> עלויות ישירות ועקיפות גבוהות אשר יגרמו להתייקרות רוחבית עמוקה של מוצרים אלה לצרכן הסופי שלא לצורך. יישום התיקון ישמור את המצב הקיים במוצרים אלו וימנע התייקרותם. </w:t>
      </w:r>
    </w:p>
    <w:p w14:paraId="67E9696F" w14:textId="11FF68BD" w:rsidR="00406623" w:rsidRPr="00D63DF4" w:rsidRDefault="00406623" w:rsidP="00D63DF4">
      <w:pPr>
        <w:pStyle w:val="Hesber"/>
        <w:spacing w:after="0"/>
        <w:ind w:left="0" w:firstLine="340"/>
        <w:rPr>
          <w:rtl/>
        </w:rPr>
      </w:pPr>
      <w:r w:rsidRPr="00D63DF4">
        <w:rPr>
          <w:rFonts w:hint="cs"/>
          <w:rtl/>
        </w:rPr>
        <w:t xml:space="preserve">מטרת </w:t>
      </w:r>
      <w:r w:rsidR="007567D3" w:rsidRPr="00D63DF4">
        <w:rPr>
          <w:rFonts w:hint="cs"/>
          <w:rtl/>
        </w:rPr>
        <w:t>ה</w:t>
      </w:r>
      <w:r w:rsidRPr="00D63DF4">
        <w:rPr>
          <w:rFonts w:hint="cs"/>
          <w:rtl/>
        </w:rPr>
        <w:t>תיקון</w:t>
      </w:r>
      <w:r w:rsidR="007567D3" w:rsidRPr="00D63DF4">
        <w:rPr>
          <w:rFonts w:hint="cs"/>
          <w:rtl/>
        </w:rPr>
        <w:t xml:space="preserve"> </w:t>
      </w:r>
      <w:r w:rsidR="00D63DF4">
        <w:rPr>
          <w:rFonts w:hint="cs"/>
          <w:rtl/>
        </w:rPr>
        <w:t>המוצע לעניין</w:t>
      </w:r>
      <w:r w:rsidRPr="00D63DF4">
        <w:rPr>
          <w:rFonts w:hint="cs"/>
          <w:rtl/>
        </w:rPr>
        <w:t xml:space="preserve"> סעיף 55א3 </w:t>
      </w:r>
      <w:r w:rsidR="007567D3" w:rsidRPr="00D63DF4">
        <w:rPr>
          <w:rFonts w:hint="cs"/>
          <w:rtl/>
        </w:rPr>
        <w:t xml:space="preserve">לפקודה </w:t>
      </w:r>
      <w:r w:rsidRPr="00D63DF4">
        <w:rPr>
          <w:rFonts w:hint="cs"/>
          <w:rtl/>
        </w:rPr>
        <w:t>היא להכניס יותר גמישות בירוקרטית למערכת ולאפשר ליבואנים להגיש בפרק זמן קצר יותר</w:t>
      </w:r>
      <w:r w:rsidR="007567D3" w:rsidRPr="00D63DF4">
        <w:rPr>
          <w:rFonts w:hint="cs"/>
          <w:rtl/>
        </w:rPr>
        <w:t xml:space="preserve"> של שישה חודשים בקשה למתן רישיון תמרוקים חדש, לאחר שרישיון התמרוקים הקודם בוטל</w:t>
      </w:r>
      <w:r w:rsidRPr="00D63DF4">
        <w:rPr>
          <w:rFonts w:hint="cs"/>
          <w:rtl/>
        </w:rPr>
        <w:t>.</w:t>
      </w:r>
    </w:p>
    <w:p w14:paraId="007EBDB7" w14:textId="5D2A5879" w:rsidR="00406623" w:rsidRPr="00D63DF4" w:rsidRDefault="007567D3" w:rsidP="00D63DF4">
      <w:pPr>
        <w:pStyle w:val="Hesber"/>
        <w:spacing w:after="0"/>
        <w:ind w:left="0" w:firstLine="340"/>
        <w:rPr>
          <w:rtl/>
        </w:rPr>
      </w:pPr>
      <w:r w:rsidRPr="00D63DF4">
        <w:rPr>
          <w:rFonts w:hint="cs"/>
          <w:rtl/>
        </w:rPr>
        <w:t>עוד מוצע לקבוע, בהתאם ל</w:t>
      </w:r>
      <w:r w:rsidR="00D63DF4">
        <w:rPr>
          <w:rFonts w:hint="cs"/>
          <w:rtl/>
        </w:rPr>
        <w:t>א</w:t>
      </w:r>
      <w:r w:rsidRPr="00D63DF4">
        <w:rPr>
          <w:rFonts w:hint="cs"/>
          <w:rtl/>
        </w:rPr>
        <w:t xml:space="preserve">סדרה במסגרת </w:t>
      </w:r>
      <w:r w:rsidR="00406623" w:rsidRPr="00D63DF4">
        <w:rPr>
          <w:rFonts w:hint="cs"/>
          <w:rtl/>
        </w:rPr>
        <w:t xml:space="preserve">הרגולציה האירופאית </w:t>
      </w:r>
      <w:r w:rsidRPr="00D63DF4">
        <w:rPr>
          <w:rFonts w:hint="cs"/>
          <w:rtl/>
        </w:rPr>
        <w:t>ש</w:t>
      </w:r>
      <w:r w:rsidR="00406623" w:rsidRPr="00D63DF4">
        <w:rPr>
          <w:rFonts w:hint="cs"/>
          <w:rtl/>
        </w:rPr>
        <w:t xml:space="preserve">נציג אחראי יוכל להיות אדם או </w:t>
      </w:r>
      <w:r w:rsidRPr="00D63DF4">
        <w:rPr>
          <w:rFonts w:hint="cs"/>
          <w:rtl/>
        </w:rPr>
        <w:t>תאגיד,</w:t>
      </w:r>
      <w:r w:rsidR="00406623" w:rsidRPr="00D63DF4">
        <w:rPr>
          <w:rFonts w:hint="cs"/>
          <w:rtl/>
        </w:rPr>
        <w:t xml:space="preserve"> </w:t>
      </w:r>
      <w:r w:rsidRPr="00D63DF4">
        <w:rPr>
          <w:rFonts w:hint="cs"/>
          <w:rtl/>
        </w:rPr>
        <w:t xml:space="preserve">זאת לאור האחריות הגדולה המוטלת במסגרת הפקודה על הנציג האחראי. </w:t>
      </w:r>
    </w:p>
    <w:p w14:paraId="655EB131" w14:textId="30DF90F8" w:rsidR="00406623" w:rsidRPr="00D63DF4" w:rsidRDefault="007567D3" w:rsidP="00D63DF4">
      <w:pPr>
        <w:pStyle w:val="Hesber"/>
        <w:spacing w:after="0"/>
        <w:ind w:left="0" w:firstLine="340"/>
        <w:rPr>
          <w:rtl/>
        </w:rPr>
      </w:pPr>
      <w:r w:rsidRPr="00D63DF4">
        <w:rPr>
          <w:rFonts w:hint="cs"/>
          <w:rtl/>
        </w:rPr>
        <w:t>נוסף</w:t>
      </w:r>
      <w:r w:rsidR="00D63DF4">
        <w:rPr>
          <w:rFonts w:hint="cs"/>
          <w:rtl/>
        </w:rPr>
        <w:t xml:space="preserve"> על כך</w:t>
      </w:r>
      <w:r w:rsidRPr="00D63DF4">
        <w:rPr>
          <w:rFonts w:hint="cs"/>
          <w:rtl/>
        </w:rPr>
        <w:t>,</w:t>
      </w:r>
      <w:r w:rsidR="00406623" w:rsidRPr="00D63DF4">
        <w:rPr>
          <w:rFonts w:hint="cs"/>
          <w:rtl/>
        </w:rPr>
        <w:t xml:space="preserve"> הדרישה מיבואנים</w:t>
      </w:r>
      <w:r w:rsidRPr="00D63DF4">
        <w:rPr>
          <w:rFonts w:hint="cs"/>
          <w:rtl/>
        </w:rPr>
        <w:t xml:space="preserve"> המעוניינים לייבא לישראל תמרוק</w:t>
      </w:r>
      <w:r w:rsidR="00406623" w:rsidRPr="00D63DF4">
        <w:rPr>
          <w:rFonts w:hint="cs"/>
          <w:rtl/>
        </w:rPr>
        <w:t xml:space="preserve"> להצגת תעודת</w:t>
      </w:r>
      <w:r w:rsidRPr="00D63DF4">
        <w:rPr>
          <w:rFonts w:hint="cs"/>
          <w:rtl/>
        </w:rPr>
        <w:t xml:space="preserve"> שיווק חופשי </w:t>
      </w:r>
      <w:r w:rsidR="00406623" w:rsidRPr="00D63DF4">
        <w:rPr>
          <w:rFonts w:hint="cs"/>
          <w:rtl/>
        </w:rPr>
        <w:t xml:space="preserve"> </w:t>
      </w:r>
      <w:r w:rsidRPr="00D63DF4">
        <w:rPr>
          <w:rFonts w:hint="cs"/>
          <w:rtl/>
        </w:rPr>
        <w:t>(</w:t>
      </w:r>
      <w:r w:rsidR="00406623" w:rsidRPr="00D63DF4">
        <w:t>free sale</w:t>
      </w:r>
      <w:r w:rsidRPr="00D63DF4">
        <w:rPr>
          <w:rFonts w:hint="cs"/>
          <w:rtl/>
        </w:rPr>
        <w:t>)</w:t>
      </w:r>
      <w:r w:rsidR="00406623" w:rsidRPr="00D63DF4">
        <w:rPr>
          <w:rFonts w:hint="cs"/>
          <w:rtl/>
        </w:rPr>
        <w:t xml:space="preserve"> מרשימה מצומצמת של מדינות מוכרות בלבד, </w:t>
      </w:r>
      <w:r w:rsidR="00D108F6" w:rsidRPr="00D63DF4">
        <w:rPr>
          <w:rFonts w:hint="cs"/>
          <w:rtl/>
        </w:rPr>
        <w:t>מכבידה ואינה</w:t>
      </w:r>
      <w:r w:rsidR="00406623" w:rsidRPr="00D63DF4">
        <w:rPr>
          <w:rFonts w:hint="cs"/>
          <w:rtl/>
        </w:rPr>
        <w:t xml:space="preserve"> מעשית</w:t>
      </w:r>
      <w:r w:rsidR="00D108F6" w:rsidRPr="00D63DF4">
        <w:rPr>
          <w:rFonts w:hint="cs"/>
          <w:rtl/>
        </w:rPr>
        <w:t>. מדובר בדרישה שאינה קיימת</w:t>
      </w:r>
      <w:r w:rsidR="00406623" w:rsidRPr="00D63DF4">
        <w:rPr>
          <w:rFonts w:hint="cs"/>
          <w:rtl/>
        </w:rPr>
        <w:t xml:space="preserve"> ברגולציה האירופאית,</w:t>
      </w:r>
      <w:r w:rsidR="00D108F6" w:rsidRPr="00D63DF4">
        <w:rPr>
          <w:rFonts w:hint="cs"/>
          <w:rtl/>
        </w:rPr>
        <w:t xml:space="preserve"> אשר מהווה החמרה דרמטית ברגולציה</w:t>
      </w:r>
      <w:r w:rsidR="00406623" w:rsidRPr="00D63DF4">
        <w:rPr>
          <w:rFonts w:hint="cs"/>
          <w:rtl/>
        </w:rPr>
        <w:t xml:space="preserve"> </w:t>
      </w:r>
      <w:r w:rsidR="00D108F6" w:rsidRPr="00D63DF4">
        <w:rPr>
          <w:rFonts w:hint="cs"/>
          <w:rtl/>
        </w:rPr>
        <w:t>ו</w:t>
      </w:r>
      <w:r w:rsidR="00406623" w:rsidRPr="00D63DF4">
        <w:rPr>
          <w:rFonts w:hint="cs"/>
          <w:rtl/>
        </w:rPr>
        <w:t>חסם י</w:t>
      </w:r>
      <w:r w:rsidR="00D63DF4">
        <w:rPr>
          <w:rFonts w:hint="cs"/>
          <w:rtl/>
        </w:rPr>
        <w:t>י</w:t>
      </w:r>
      <w:r w:rsidR="00406623" w:rsidRPr="00D63DF4">
        <w:rPr>
          <w:rFonts w:hint="cs"/>
          <w:rtl/>
        </w:rPr>
        <w:t xml:space="preserve">בוא חמור </w:t>
      </w:r>
      <w:r w:rsidR="00D108F6" w:rsidRPr="00D63DF4">
        <w:rPr>
          <w:rFonts w:hint="cs"/>
          <w:rtl/>
        </w:rPr>
        <w:t>לי</w:t>
      </w:r>
      <w:r w:rsidR="00406623" w:rsidRPr="00D63DF4">
        <w:rPr>
          <w:rFonts w:hint="cs"/>
          <w:rtl/>
        </w:rPr>
        <w:t>יבוא תמרוקים ממדינות רבות בעולם. התנאי לשיווק במדינה מוכרת שנקבע ב</w:t>
      </w:r>
      <w:r w:rsidR="00D63DF4">
        <w:rPr>
          <w:rFonts w:hint="cs"/>
          <w:rtl/>
        </w:rPr>
        <w:t>פקודה</w:t>
      </w:r>
      <w:r w:rsidR="00406623" w:rsidRPr="00D63DF4">
        <w:rPr>
          <w:rFonts w:hint="cs"/>
          <w:rtl/>
        </w:rPr>
        <w:t xml:space="preserve"> ואשר מוצע לתקן בהצעה זו יביא לחיסול של עסקים ו</w:t>
      </w:r>
      <w:r w:rsidR="00D63DF4">
        <w:rPr>
          <w:rFonts w:hint="cs"/>
          <w:rtl/>
        </w:rPr>
        <w:t>י</w:t>
      </w:r>
      <w:r w:rsidR="00406623" w:rsidRPr="00D63DF4">
        <w:rPr>
          <w:rFonts w:hint="cs"/>
          <w:rtl/>
        </w:rPr>
        <w:t>י</w:t>
      </w:r>
      <w:r w:rsidR="00D108F6" w:rsidRPr="00D63DF4">
        <w:rPr>
          <w:rFonts w:hint="cs"/>
          <w:rtl/>
        </w:rPr>
        <w:t>בואנים רבים ול</w:t>
      </w:r>
      <w:r w:rsidR="00406623" w:rsidRPr="00D63DF4">
        <w:rPr>
          <w:rFonts w:hint="cs"/>
          <w:rtl/>
        </w:rPr>
        <w:t>פגיעה בפרנסתם של אלפי עובדים</w:t>
      </w:r>
      <w:r w:rsidR="00D63DF4">
        <w:rPr>
          <w:rFonts w:hint="cs"/>
          <w:rtl/>
        </w:rPr>
        <w:t>.</w:t>
      </w:r>
      <w:r w:rsidR="00D108F6" w:rsidRPr="00D63DF4">
        <w:rPr>
          <w:rFonts w:hint="cs"/>
          <w:rtl/>
        </w:rPr>
        <w:t xml:space="preserve"> כמו כן הדבר יוביל</w:t>
      </w:r>
      <w:r w:rsidR="00406623" w:rsidRPr="00D63DF4">
        <w:rPr>
          <w:rFonts w:hint="cs"/>
          <w:rtl/>
        </w:rPr>
        <w:t xml:space="preserve"> </w:t>
      </w:r>
      <w:r w:rsidR="00D108F6" w:rsidRPr="00D63DF4">
        <w:rPr>
          <w:rFonts w:hint="cs"/>
          <w:rtl/>
        </w:rPr>
        <w:t>לפגיעה</w:t>
      </w:r>
      <w:r w:rsidR="00406623" w:rsidRPr="00D63DF4">
        <w:rPr>
          <w:rFonts w:hint="cs"/>
          <w:rtl/>
        </w:rPr>
        <w:t xml:space="preserve"> בצרכן הישראלי</w:t>
      </w:r>
      <w:r w:rsidR="00D108F6" w:rsidRPr="00D63DF4">
        <w:rPr>
          <w:rFonts w:hint="cs"/>
          <w:rtl/>
        </w:rPr>
        <w:t xml:space="preserve"> על דרך של צמצום המגוון ו</w:t>
      </w:r>
      <w:r w:rsidR="00406623" w:rsidRPr="00D63DF4">
        <w:rPr>
          <w:rFonts w:hint="cs"/>
          <w:rtl/>
        </w:rPr>
        <w:t>העלאת יוקר המחייה. על כן מוצע לאפשר המשך י</w:t>
      </w:r>
      <w:r w:rsidR="00D63DF4">
        <w:rPr>
          <w:rFonts w:hint="cs"/>
          <w:rtl/>
        </w:rPr>
        <w:t>י</w:t>
      </w:r>
      <w:r w:rsidR="00406623" w:rsidRPr="00D63DF4">
        <w:rPr>
          <w:rFonts w:hint="cs"/>
          <w:rtl/>
        </w:rPr>
        <w:t>בוא לעוסקים שמוצריהם אינם משווקים במדינה מוכרת לאחר בדיקת המוצר</w:t>
      </w:r>
      <w:r w:rsidR="00D108F6" w:rsidRPr="00D63DF4">
        <w:rPr>
          <w:rFonts w:hint="cs"/>
          <w:rtl/>
        </w:rPr>
        <w:t xml:space="preserve"> על ידי המנהל ווידוא כי התמרוק</w:t>
      </w:r>
      <w:r w:rsidR="00406623" w:rsidRPr="00D63DF4">
        <w:rPr>
          <w:rFonts w:hint="cs"/>
          <w:rtl/>
        </w:rPr>
        <w:t xml:space="preserve"> עומד בדרישות ה</w:t>
      </w:r>
      <w:r w:rsidR="00D63DF4">
        <w:rPr>
          <w:rFonts w:hint="cs"/>
          <w:rtl/>
        </w:rPr>
        <w:t>פקודה</w:t>
      </w:r>
      <w:r w:rsidR="00406623" w:rsidRPr="00D63DF4">
        <w:rPr>
          <w:rFonts w:hint="cs"/>
          <w:rtl/>
        </w:rPr>
        <w:t xml:space="preserve">. סעיף זה יבטיח המשך מסלולי הסחר הקיימים היום ממדינות שאינן מדינות מוכרות לפי הגדרת </w:t>
      </w:r>
      <w:r w:rsidR="00D63DF4">
        <w:rPr>
          <w:rFonts w:hint="cs"/>
          <w:rtl/>
        </w:rPr>
        <w:t>הפקודה</w:t>
      </w:r>
      <w:r w:rsidR="00406623" w:rsidRPr="00D63DF4">
        <w:rPr>
          <w:rFonts w:hint="cs"/>
          <w:rtl/>
        </w:rPr>
        <w:t xml:space="preserve"> זה ולמנוע סגירת עסקים קיימים.</w:t>
      </w:r>
      <w:r w:rsidR="00D108F6" w:rsidRPr="00D63DF4">
        <w:rPr>
          <w:rFonts w:hint="cs"/>
          <w:rtl/>
        </w:rPr>
        <w:t xml:space="preserve"> כן מוצע כי מוצר ששווק בעבר בישראל יוכר כמוצר ששווק במדינה מוכרת לעניין הפקודה.</w:t>
      </w:r>
    </w:p>
    <w:p w14:paraId="7CC09A2C" w14:textId="6C3D919E" w:rsidR="00406623" w:rsidRPr="00D63DF4" w:rsidRDefault="00D63DF4" w:rsidP="00D63DF4">
      <w:pPr>
        <w:pStyle w:val="Hesber"/>
        <w:spacing w:after="0"/>
        <w:ind w:left="0" w:firstLine="340"/>
        <w:rPr>
          <w:rtl/>
        </w:rPr>
      </w:pPr>
      <w:r>
        <w:rPr>
          <w:rFonts w:hint="cs"/>
          <w:rtl/>
        </w:rPr>
        <w:t>כמו כן</w:t>
      </w:r>
      <w:r w:rsidR="00406623" w:rsidRPr="00D63DF4">
        <w:rPr>
          <w:rFonts w:hint="cs"/>
          <w:rtl/>
        </w:rPr>
        <w:t xml:space="preserve"> ולאור חשיבות סעיף זה מבחינת הסחר עם מדינות העולם </w:t>
      </w:r>
      <w:r w:rsidR="00406623" w:rsidRPr="00D63DF4">
        <w:rPr>
          <w:rtl/>
        </w:rPr>
        <w:t>–</w:t>
      </w:r>
      <w:r w:rsidR="00406623" w:rsidRPr="00D63DF4">
        <w:rPr>
          <w:rFonts w:hint="cs"/>
          <w:rtl/>
        </w:rPr>
        <w:t xml:space="preserve"> יש לקבוע </w:t>
      </w:r>
      <w:r w:rsidR="00D108F6" w:rsidRPr="00D63DF4">
        <w:rPr>
          <w:rFonts w:hint="cs"/>
          <w:rtl/>
        </w:rPr>
        <w:t>כי</w:t>
      </w:r>
      <w:r w:rsidR="00406623" w:rsidRPr="00D63DF4">
        <w:rPr>
          <w:rFonts w:hint="cs"/>
          <w:rtl/>
        </w:rPr>
        <w:t xml:space="preserve"> הרחבת רשימת המדינות המוכרות </w:t>
      </w:r>
      <w:r w:rsidR="00D108F6" w:rsidRPr="00D63DF4">
        <w:rPr>
          <w:rFonts w:hint="cs"/>
          <w:rtl/>
        </w:rPr>
        <w:t>ת</w:t>
      </w:r>
      <w:r>
        <w:rPr>
          <w:rFonts w:hint="cs"/>
          <w:rtl/>
        </w:rPr>
        <w:t>י</w:t>
      </w:r>
      <w:r w:rsidR="00D108F6" w:rsidRPr="00D63DF4">
        <w:rPr>
          <w:rFonts w:hint="cs"/>
          <w:rtl/>
        </w:rPr>
        <w:t>עשה בהתייעצות עם שר הכלכלה</w:t>
      </w:r>
      <w:r>
        <w:rPr>
          <w:rFonts w:hint="cs"/>
          <w:rtl/>
        </w:rPr>
        <w:t xml:space="preserve"> והתעשייה</w:t>
      </w:r>
      <w:r w:rsidR="00406623" w:rsidRPr="00D63DF4">
        <w:rPr>
          <w:rFonts w:hint="cs"/>
          <w:rtl/>
        </w:rPr>
        <w:t xml:space="preserve">. הדבר יבטיח </w:t>
      </w:r>
      <w:r w:rsidR="00D108F6" w:rsidRPr="00D63DF4">
        <w:rPr>
          <w:rFonts w:hint="cs"/>
          <w:rtl/>
        </w:rPr>
        <w:t>שקילה של</w:t>
      </w:r>
      <w:r w:rsidR="00406623" w:rsidRPr="00D63DF4">
        <w:rPr>
          <w:rFonts w:hint="cs"/>
          <w:rtl/>
        </w:rPr>
        <w:t xml:space="preserve"> השיקולים </w:t>
      </w:r>
      <w:r w:rsidR="00406623" w:rsidRPr="00D63DF4">
        <w:rPr>
          <w:rFonts w:hint="cs"/>
          <w:rtl/>
        </w:rPr>
        <w:lastRenderedPageBreak/>
        <w:t xml:space="preserve">הכלכליים והרגולטורים </w:t>
      </w:r>
      <w:r w:rsidR="00D108F6" w:rsidRPr="00D63DF4">
        <w:rPr>
          <w:rFonts w:hint="cs"/>
          <w:rtl/>
        </w:rPr>
        <w:t xml:space="preserve">הרלוונטיים </w:t>
      </w:r>
      <w:r w:rsidR="00406623" w:rsidRPr="00D63DF4">
        <w:rPr>
          <w:rFonts w:hint="cs"/>
          <w:rtl/>
        </w:rPr>
        <w:t>בעת בחירת המדינות.</w:t>
      </w:r>
    </w:p>
    <w:p w14:paraId="03E78BC4" w14:textId="0BFB33C9" w:rsidR="00406623" w:rsidRDefault="00D108F6" w:rsidP="00D63DF4">
      <w:pPr>
        <w:pStyle w:val="Hesber"/>
        <w:spacing w:after="0"/>
        <w:ind w:left="0" w:firstLine="340"/>
        <w:rPr>
          <w:rtl/>
        </w:rPr>
      </w:pPr>
      <w:r w:rsidRPr="00D63DF4">
        <w:rPr>
          <w:rFonts w:hint="cs"/>
          <w:rtl/>
        </w:rPr>
        <w:t>לבסוף מוצע</w:t>
      </w:r>
      <w:r w:rsidR="00406623" w:rsidRPr="00D63DF4">
        <w:rPr>
          <w:rFonts w:hint="cs"/>
          <w:rtl/>
        </w:rPr>
        <w:t xml:space="preserve"> לקבוע כי ישראל תהיה אחת מהמדינות המוכרות. </w:t>
      </w:r>
      <w:r w:rsidRPr="00D63DF4">
        <w:rPr>
          <w:rFonts w:hint="cs"/>
          <w:rtl/>
        </w:rPr>
        <w:t xml:space="preserve">המשמעות של הכרה זו היא שמירת </w:t>
      </w:r>
      <w:r w:rsidR="00406623" w:rsidRPr="00D63DF4">
        <w:rPr>
          <w:rFonts w:hint="cs"/>
          <w:rtl/>
        </w:rPr>
        <w:t xml:space="preserve">היכולת לשווק מוצרים שכבר משווקים בישראל על פי הרגולציה הקיימת. תיקון זה </w:t>
      </w:r>
      <w:r w:rsidRPr="00D63DF4">
        <w:rPr>
          <w:rFonts w:hint="cs"/>
          <w:rtl/>
        </w:rPr>
        <w:t>יבטיח</w:t>
      </w:r>
      <w:r w:rsidR="00406623" w:rsidRPr="00D63DF4">
        <w:rPr>
          <w:rFonts w:hint="cs"/>
          <w:rtl/>
        </w:rPr>
        <w:t xml:space="preserve"> את שמירת המצב הקיים ואת היכולת של הי</w:t>
      </w:r>
      <w:r w:rsidR="00D63DF4">
        <w:rPr>
          <w:rFonts w:hint="cs"/>
          <w:rtl/>
        </w:rPr>
        <w:t>י</w:t>
      </w:r>
      <w:r w:rsidR="00406623" w:rsidRPr="00D63DF4">
        <w:rPr>
          <w:rFonts w:hint="cs"/>
          <w:rtl/>
        </w:rPr>
        <w:t xml:space="preserve">בואנים להמשיך לייבא מוצרים אלו. </w:t>
      </w:r>
    </w:p>
    <w:p w14:paraId="250A01FE" w14:textId="77777777" w:rsidR="00D63DF4" w:rsidRDefault="00D63DF4" w:rsidP="00D63DF4">
      <w:pPr>
        <w:pStyle w:val="Hesber"/>
        <w:spacing w:after="0"/>
        <w:ind w:left="0" w:firstLine="340"/>
        <w:rPr>
          <w:rtl/>
        </w:rPr>
      </w:pPr>
    </w:p>
    <w:p w14:paraId="7E1CFB2B" w14:textId="77777777" w:rsidR="00D63DF4" w:rsidRDefault="00D63DF4" w:rsidP="00D63DF4">
      <w:pPr>
        <w:pStyle w:val="Hesber"/>
        <w:spacing w:after="0"/>
        <w:ind w:left="0" w:firstLine="340"/>
        <w:rPr>
          <w:rtl/>
        </w:rPr>
      </w:pPr>
    </w:p>
    <w:p w14:paraId="027E9FF9" w14:textId="77777777" w:rsidR="00D63DF4" w:rsidRPr="00D73212" w:rsidRDefault="00D63DF4" w:rsidP="00D63DF4">
      <w:pPr>
        <w:pStyle w:val="Hesber"/>
        <w:rPr>
          <w:rtl/>
        </w:rPr>
      </w:pPr>
      <w:r w:rsidRPr="00D73212">
        <w:rPr>
          <w:rtl/>
        </w:rPr>
        <w:t>---------------------------------</w:t>
      </w:r>
    </w:p>
    <w:p w14:paraId="4ECBD4B8" w14:textId="77777777" w:rsidR="00D63DF4" w:rsidRPr="00D73212" w:rsidRDefault="00D63DF4" w:rsidP="00D63DF4">
      <w:pPr>
        <w:pStyle w:val="Hesber"/>
        <w:rPr>
          <w:rtl/>
        </w:rPr>
      </w:pPr>
      <w:r w:rsidRPr="00D73212">
        <w:rPr>
          <w:rFonts w:hint="cs"/>
          <w:rtl/>
        </w:rPr>
        <w:t>הוגשה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ליו</w:t>
      </w:r>
      <w:r w:rsidRPr="00D73212">
        <w:rPr>
          <w:rtl/>
        </w:rPr>
        <w:t>"</w:t>
      </w:r>
      <w:r w:rsidRPr="00D73212">
        <w:rPr>
          <w:rFonts w:hint="cs"/>
          <w:rtl/>
        </w:rPr>
        <w:t>ר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הכנסת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והסגנים</w:t>
      </w:r>
    </w:p>
    <w:p w14:paraId="7CAC78B3" w14:textId="77777777" w:rsidR="00D63DF4" w:rsidRPr="00D73212" w:rsidRDefault="00D63DF4" w:rsidP="00D63DF4">
      <w:pPr>
        <w:pStyle w:val="Hesber"/>
        <w:rPr>
          <w:rtl/>
        </w:rPr>
      </w:pPr>
      <w:r w:rsidRPr="00D73212">
        <w:rPr>
          <w:rFonts w:hint="cs"/>
          <w:rtl/>
        </w:rPr>
        <w:t>והונחה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על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שולחן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הכנסת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ביום</w:t>
      </w:r>
    </w:p>
    <w:p w14:paraId="7F9F6468" w14:textId="77777777" w:rsidR="00D63DF4" w:rsidRDefault="00D63DF4" w:rsidP="00D63DF4">
      <w:pPr>
        <w:pStyle w:val="Hesber"/>
        <w:rPr>
          <w:rtl/>
        </w:rPr>
      </w:pPr>
      <w:r>
        <w:rPr>
          <w:rFonts w:hint="cs"/>
          <w:rtl/>
        </w:rPr>
        <w:t>כ"ז באדר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התשע</w:t>
      </w:r>
      <w:r w:rsidRPr="00D73212">
        <w:rPr>
          <w:rtl/>
        </w:rPr>
        <w:t>"</w:t>
      </w:r>
      <w:r>
        <w:rPr>
          <w:rFonts w:hint="cs"/>
          <w:rtl/>
        </w:rPr>
        <w:t>ח</w:t>
      </w:r>
      <w:r w:rsidRPr="00D73212">
        <w:rPr>
          <w:rtl/>
        </w:rPr>
        <w:t xml:space="preserve"> – </w:t>
      </w:r>
      <w:r>
        <w:rPr>
          <w:rFonts w:hint="cs"/>
          <w:rtl/>
        </w:rPr>
        <w:t>14.3.18</w:t>
      </w:r>
    </w:p>
    <w:p w14:paraId="6F843341" w14:textId="017AFF1E" w:rsidR="00D63DF4" w:rsidRPr="00D63DF4" w:rsidRDefault="00D63DF4" w:rsidP="00D63DF4">
      <w:pPr>
        <w:pStyle w:val="Hesber"/>
        <w:spacing w:after="0"/>
        <w:ind w:left="0" w:firstLine="340"/>
      </w:pPr>
    </w:p>
    <w:p w14:paraId="7F6961CB" w14:textId="08BB0494" w:rsidR="00E13C27" w:rsidRPr="00D63DF4" w:rsidRDefault="00E13C27" w:rsidP="00D63DF4">
      <w:pPr>
        <w:pStyle w:val="Hesber"/>
        <w:spacing w:after="0"/>
        <w:ind w:left="0" w:firstLine="340"/>
        <w:rPr>
          <w:rtl/>
        </w:rPr>
      </w:pPr>
    </w:p>
    <w:sectPr w:rsidR="00E13C27" w:rsidRPr="00D63DF4" w:rsidSect="000474D0">
      <w:footerReference w:type="even" r:id="rId12"/>
      <w:footerReference w:type="default" r:id="rId13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96387E">
      <w:rPr>
        <w:rStyle w:val="aa"/>
        <w:noProof/>
        <w:rtl/>
      </w:rPr>
      <w:t>3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7B3D8528" w14:textId="383D4A12" w:rsidR="00D63DF4" w:rsidRDefault="00D63DF4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דיני מדינת ישראל, נוסח חדש 35, עמ' 694.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A64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C6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9A8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F06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664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567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6C2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36B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02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82B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474D0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47B1D"/>
    <w:rsid w:val="0036422C"/>
    <w:rsid w:val="003710F6"/>
    <w:rsid w:val="00386E88"/>
    <w:rsid w:val="00396585"/>
    <w:rsid w:val="003B3F06"/>
    <w:rsid w:val="003D6E38"/>
    <w:rsid w:val="003D74A0"/>
    <w:rsid w:val="004033D8"/>
    <w:rsid w:val="00406623"/>
    <w:rsid w:val="004073F0"/>
    <w:rsid w:val="00412A7D"/>
    <w:rsid w:val="00416B4D"/>
    <w:rsid w:val="00417CFC"/>
    <w:rsid w:val="00465A57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0437"/>
    <w:rsid w:val="005D51AE"/>
    <w:rsid w:val="0061767A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4759D"/>
    <w:rsid w:val="007567D3"/>
    <w:rsid w:val="00763CAA"/>
    <w:rsid w:val="00765F66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3B4F"/>
    <w:rsid w:val="009456B6"/>
    <w:rsid w:val="00957589"/>
    <w:rsid w:val="0096387E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0EBD"/>
    <w:rsid w:val="00C310EB"/>
    <w:rsid w:val="00C9176A"/>
    <w:rsid w:val="00CF1AA2"/>
    <w:rsid w:val="00D108F6"/>
    <w:rsid w:val="00D17774"/>
    <w:rsid w:val="00D63620"/>
    <w:rsid w:val="00D63DF4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D0"/>
    <w:pPr>
      <w:widowControl w:val="0"/>
      <w:bidi/>
      <w:spacing w:after="160" w:line="360" w:lineRule="auto"/>
      <w:ind w:left="340"/>
      <w:contextualSpacing/>
      <w:jc w:val="both"/>
    </w:pPr>
    <w:rPr>
      <w:rFonts w:ascii="David" w:eastAsiaTheme="minorHAnsi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4D0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0474D0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0474D0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0474D0"/>
    <w:pPr>
      <w:numPr>
        <w:numId w:val="16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74D0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0474D0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0474D0"/>
    <w:rPr>
      <w:sz w:val="36"/>
      <w:szCs w:val="52"/>
    </w:rPr>
  </w:style>
  <w:style w:type="paragraph" w:customStyle="1" w:styleId="Cover3-Haknesset">
    <w:name w:val="Cover 3-Haknesset"/>
    <w:basedOn w:val="Cover1-Reshumot"/>
    <w:rsid w:val="000474D0"/>
    <w:rPr>
      <w:b/>
      <w:bCs/>
      <w:spacing w:val="60"/>
    </w:rPr>
  </w:style>
  <w:style w:type="paragraph" w:customStyle="1" w:styleId="Cover4-Date">
    <w:name w:val="Cover 4-Date"/>
    <w:basedOn w:val="a"/>
    <w:rsid w:val="000474D0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0474D0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0474D0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4Futer">
    <w:name w:val="Head HatzaotHok4Futer"/>
    <w:basedOn w:val="HeadHatzaotHok"/>
    <w:rsid w:val="000474D0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0474D0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0474D0"/>
    <w:pPr>
      <w:keepLines/>
      <w:tabs>
        <w:tab w:val="left" w:pos="624"/>
        <w:tab w:val="left" w:pos="1247"/>
      </w:tabs>
      <w:snapToGrid w:val="0"/>
      <w:spacing w:after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0474D0"/>
    <w:pPr>
      <w:outlineLvl w:val="2"/>
    </w:pPr>
  </w:style>
  <w:style w:type="paragraph" w:customStyle="1" w:styleId="TableBlock">
    <w:name w:val="Table Block"/>
    <w:basedOn w:val="TableText"/>
    <w:rsid w:val="000474D0"/>
    <w:pPr>
      <w:jc w:val="both"/>
    </w:pPr>
  </w:style>
  <w:style w:type="paragraph" w:customStyle="1" w:styleId="TableHead">
    <w:name w:val="Table Head"/>
    <w:basedOn w:val="TableText"/>
    <w:rsid w:val="000474D0"/>
    <w:pPr>
      <w:jc w:val="center"/>
      <w:outlineLvl w:val="1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0474D0"/>
    <w:pPr>
      <w:outlineLvl w:val="9"/>
    </w:pPr>
  </w:style>
  <w:style w:type="paragraph" w:customStyle="1" w:styleId="Hesber">
    <w:name w:val="Hesber"/>
    <w:basedOn w:val="a"/>
    <w:rsid w:val="000474D0"/>
    <w:pPr>
      <w:snapToGrid w:val="0"/>
    </w:pPr>
    <w:rPr>
      <w:rFonts w:ascii="Arial" w:eastAsia="Arial Unicode MS" w:hAnsi="Arial"/>
      <w:snapToGrid w:val="0"/>
      <w:sz w:val="20"/>
      <w:szCs w:val="26"/>
    </w:rPr>
  </w:style>
  <w:style w:type="paragraph" w:styleId="a4">
    <w:name w:val="footnote text"/>
    <w:basedOn w:val="a"/>
    <w:autoRedefine/>
    <w:semiHidden/>
    <w:rsid w:val="000474D0"/>
    <w:pPr>
      <w:snapToGrid w:val="0"/>
      <w:spacing w:line="240" w:lineRule="auto"/>
      <w:ind w:left="227" w:hanging="227"/>
      <w:jc w:val="left"/>
    </w:pPr>
    <w:rPr>
      <w:rFonts w:ascii="Arial" w:eastAsia="Arial Unicode MS" w:hAnsi="Arial"/>
      <w:snapToGrid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0474D0"/>
    <w:rPr>
      <w:vertAlign w:val="superscript"/>
    </w:rPr>
  </w:style>
  <w:style w:type="paragraph" w:customStyle="1" w:styleId="HesberHeading">
    <w:name w:val="Hesber Heading"/>
    <w:basedOn w:val="Hesber"/>
    <w:rsid w:val="000474D0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0474D0"/>
    <w:pPr>
      <w:spacing w:before="120" w:after="6000"/>
      <w:ind w:left="1418"/>
      <w:jc w:val="right"/>
    </w:pPr>
    <w:rPr>
      <w:b/>
      <w:bCs/>
    </w:rPr>
  </w:style>
  <w:style w:type="paragraph" w:customStyle="1" w:styleId="Hesber1st">
    <w:name w:val="Hesber 1st"/>
    <w:basedOn w:val="Hesber"/>
    <w:rsid w:val="000474D0"/>
    <w:pPr>
      <w:tabs>
        <w:tab w:val="left" w:pos="680"/>
        <w:tab w:val="left" w:pos="1020"/>
      </w:tabs>
      <w:ind w:left="0"/>
    </w:pPr>
  </w:style>
  <w:style w:type="character" w:styleId="a6">
    <w:name w:val="endnote reference"/>
    <w:basedOn w:val="a0"/>
    <w:semiHidden/>
    <w:rsid w:val="000474D0"/>
    <w:rPr>
      <w:vertAlign w:val="superscript"/>
    </w:rPr>
  </w:style>
  <w:style w:type="paragraph" w:customStyle="1" w:styleId="TableBlockOutdent">
    <w:name w:val="Table BlockOutdent"/>
    <w:basedOn w:val="TableBlock"/>
    <w:rsid w:val="000474D0"/>
    <w:pPr>
      <w:ind w:left="624" w:hanging="624"/>
    </w:pPr>
  </w:style>
  <w:style w:type="paragraph" w:styleId="a7">
    <w:name w:val="header"/>
    <w:basedOn w:val="a"/>
    <w:rsid w:val="000474D0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0474D0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0474D0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0474D0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b/>
      <w:bCs/>
      <w:sz w:val="28"/>
      <w:szCs w:val="28"/>
      <w:u w:val="single"/>
    </w:rPr>
  </w:style>
  <w:style w:type="character" w:styleId="aa">
    <w:name w:val="page number"/>
    <w:basedOn w:val="a0"/>
    <w:rsid w:val="000474D0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jc w:val="left"/>
    </w:pPr>
    <w:rPr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default">
    <w:name w:val="default"/>
    <w:rsid w:val="00406623"/>
    <w:rPr>
      <w:rFonts w:ascii="Times New Roman" w:hAnsi="Times New Roman" w:cs="Times New Roman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0474D0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20">
    <w:name w:val="כותרת 2 תו"/>
    <w:basedOn w:val="a0"/>
    <w:link w:val="2"/>
    <w:rsid w:val="000474D0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0474D0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40">
    <w:name w:val="כותרת 4 תו"/>
    <w:basedOn w:val="a0"/>
    <w:link w:val="4"/>
    <w:uiPriority w:val="9"/>
    <w:rsid w:val="000474D0"/>
    <w:rPr>
      <w:rFonts w:ascii="David" w:eastAsiaTheme="minorHAnsi" w:hAnsi="David" w:cs="David"/>
      <w:b/>
      <w:bCs/>
      <w:color w:val="000000" w:themeColor="text1"/>
      <w:sz w:val="24"/>
      <w:szCs w:val="28"/>
    </w:rPr>
  </w:style>
  <w:style w:type="character" w:customStyle="1" w:styleId="50">
    <w:name w:val="כותרת 5 תו"/>
    <w:basedOn w:val="a0"/>
    <w:link w:val="5"/>
    <w:uiPriority w:val="9"/>
    <w:rsid w:val="000474D0"/>
    <w:rPr>
      <w:rFonts w:ascii="David" w:eastAsiaTheme="minorHAnsi" w:hAnsi="David" w:cs="David"/>
      <w:color w:val="000000" w:themeColor="text1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0474D0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0474D0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0474D0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0474D0"/>
    <w:rPr>
      <w:color w:val="0000FF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0474D0"/>
    <w:pPr>
      <w:tabs>
        <w:tab w:val="right" w:leader="dot" w:pos="9629"/>
      </w:tabs>
      <w:spacing w:after="100"/>
      <w:ind w:left="56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0474D0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0474D0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0474D0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0474D0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0474D0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0474D0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0474D0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0474D0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0474D0"/>
    <w:rPr>
      <w:rFonts w:eastAsia="Times New Roman"/>
    </w:rPr>
  </w:style>
  <w:style w:type="paragraph" w:styleId="ae">
    <w:name w:val="List Paragraph"/>
    <w:basedOn w:val="a"/>
    <w:uiPriority w:val="34"/>
    <w:qFormat/>
    <w:rsid w:val="000474D0"/>
    <w:pPr>
      <w:widowControl/>
      <w:spacing w:line="259" w:lineRule="auto"/>
    </w:pPr>
    <w:rPr>
      <w:rFonts w:asciiTheme="minorHAnsi" w:hAnsiTheme="minorHAnsi"/>
      <w:sz w:val="22"/>
    </w:rPr>
  </w:style>
  <w:style w:type="table" w:styleId="af">
    <w:name w:val="Table Grid"/>
    <w:basedOn w:val="a1"/>
    <w:rsid w:val="0004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0474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0474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0">
    <w:name w:val="טבלת חקיקה"/>
    <w:basedOn w:val="a1"/>
    <w:uiPriority w:val="99"/>
    <w:rsid w:val="000474D0"/>
    <w:pPr>
      <w:jc w:val="center"/>
    </w:pPr>
    <w:rPr>
      <w:rFonts w:cstheme="minorBidi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1">
    <w:name w:val="סגנון1"/>
    <w:basedOn w:val="a1"/>
    <w:uiPriority w:val="99"/>
    <w:rsid w:val="000474D0"/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D0"/>
    <w:pPr>
      <w:widowControl w:val="0"/>
      <w:bidi/>
      <w:spacing w:after="160" w:line="360" w:lineRule="auto"/>
      <w:ind w:left="340"/>
      <w:contextualSpacing/>
      <w:jc w:val="both"/>
    </w:pPr>
    <w:rPr>
      <w:rFonts w:ascii="David" w:eastAsiaTheme="minorHAnsi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4D0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0474D0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0474D0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0474D0"/>
    <w:pPr>
      <w:numPr>
        <w:numId w:val="16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74D0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0474D0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0474D0"/>
    <w:rPr>
      <w:sz w:val="36"/>
      <w:szCs w:val="52"/>
    </w:rPr>
  </w:style>
  <w:style w:type="paragraph" w:customStyle="1" w:styleId="Cover3-Haknesset">
    <w:name w:val="Cover 3-Haknesset"/>
    <w:basedOn w:val="Cover1-Reshumot"/>
    <w:rsid w:val="000474D0"/>
    <w:rPr>
      <w:b/>
      <w:bCs/>
      <w:spacing w:val="60"/>
    </w:rPr>
  </w:style>
  <w:style w:type="paragraph" w:customStyle="1" w:styleId="Cover4-Date">
    <w:name w:val="Cover 4-Date"/>
    <w:basedOn w:val="a"/>
    <w:rsid w:val="000474D0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0474D0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0474D0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4Futer">
    <w:name w:val="Head HatzaotHok4Futer"/>
    <w:basedOn w:val="HeadHatzaotHok"/>
    <w:rsid w:val="000474D0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0474D0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0474D0"/>
    <w:pPr>
      <w:keepLines/>
      <w:tabs>
        <w:tab w:val="left" w:pos="624"/>
        <w:tab w:val="left" w:pos="1247"/>
      </w:tabs>
      <w:snapToGrid w:val="0"/>
      <w:spacing w:after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0474D0"/>
    <w:pPr>
      <w:outlineLvl w:val="2"/>
    </w:pPr>
  </w:style>
  <w:style w:type="paragraph" w:customStyle="1" w:styleId="TableBlock">
    <w:name w:val="Table Block"/>
    <w:basedOn w:val="TableText"/>
    <w:rsid w:val="000474D0"/>
    <w:pPr>
      <w:jc w:val="both"/>
    </w:pPr>
  </w:style>
  <w:style w:type="paragraph" w:customStyle="1" w:styleId="TableHead">
    <w:name w:val="Table Head"/>
    <w:basedOn w:val="TableText"/>
    <w:rsid w:val="000474D0"/>
    <w:pPr>
      <w:jc w:val="center"/>
      <w:outlineLvl w:val="1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0474D0"/>
    <w:pPr>
      <w:outlineLvl w:val="9"/>
    </w:pPr>
  </w:style>
  <w:style w:type="paragraph" w:customStyle="1" w:styleId="Hesber">
    <w:name w:val="Hesber"/>
    <w:basedOn w:val="a"/>
    <w:rsid w:val="000474D0"/>
    <w:pPr>
      <w:snapToGrid w:val="0"/>
    </w:pPr>
    <w:rPr>
      <w:rFonts w:ascii="Arial" w:eastAsia="Arial Unicode MS" w:hAnsi="Arial"/>
      <w:snapToGrid w:val="0"/>
      <w:sz w:val="20"/>
      <w:szCs w:val="26"/>
    </w:rPr>
  </w:style>
  <w:style w:type="paragraph" w:styleId="a4">
    <w:name w:val="footnote text"/>
    <w:basedOn w:val="a"/>
    <w:autoRedefine/>
    <w:semiHidden/>
    <w:rsid w:val="000474D0"/>
    <w:pPr>
      <w:snapToGrid w:val="0"/>
      <w:spacing w:line="240" w:lineRule="auto"/>
      <w:ind w:left="227" w:hanging="227"/>
      <w:jc w:val="left"/>
    </w:pPr>
    <w:rPr>
      <w:rFonts w:ascii="Arial" w:eastAsia="Arial Unicode MS" w:hAnsi="Arial"/>
      <w:snapToGrid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0474D0"/>
    <w:rPr>
      <w:vertAlign w:val="superscript"/>
    </w:rPr>
  </w:style>
  <w:style w:type="paragraph" w:customStyle="1" w:styleId="HesberHeading">
    <w:name w:val="Hesber Heading"/>
    <w:basedOn w:val="Hesber"/>
    <w:rsid w:val="000474D0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0474D0"/>
    <w:pPr>
      <w:spacing w:before="120" w:after="6000"/>
      <w:ind w:left="1418"/>
      <w:jc w:val="right"/>
    </w:pPr>
    <w:rPr>
      <w:b/>
      <w:bCs/>
    </w:rPr>
  </w:style>
  <w:style w:type="paragraph" w:customStyle="1" w:styleId="Hesber1st">
    <w:name w:val="Hesber 1st"/>
    <w:basedOn w:val="Hesber"/>
    <w:rsid w:val="000474D0"/>
    <w:pPr>
      <w:tabs>
        <w:tab w:val="left" w:pos="680"/>
        <w:tab w:val="left" w:pos="1020"/>
      </w:tabs>
      <w:ind w:left="0"/>
    </w:pPr>
  </w:style>
  <w:style w:type="character" w:styleId="a6">
    <w:name w:val="endnote reference"/>
    <w:basedOn w:val="a0"/>
    <w:semiHidden/>
    <w:rsid w:val="000474D0"/>
    <w:rPr>
      <w:vertAlign w:val="superscript"/>
    </w:rPr>
  </w:style>
  <w:style w:type="paragraph" w:customStyle="1" w:styleId="TableBlockOutdent">
    <w:name w:val="Table BlockOutdent"/>
    <w:basedOn w:val="TableBlock"/>
    <w:rsid w:val="000474D0"/>
    <w:pPr>
      <w:ind w:left="624" w:hanging="624"/>
    </w:pPr>
  </w:style>
  <w:style w:type="paragraph" w:styleId="a7">
    <w:name w:val="header"/>
    <w:basedOn w:val="a"/>
    <w:rsid w:val="000474D0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0474D0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0474D0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0474D0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b/>
      <w:bCs/>
      <w:sz w:val="28"/>
      <w:szCs w:val="28"/>
      <w:u w:val="single"/>
    </w:rPr>
  </w:style>
  <w:style w:type="character" w:styleId="aa">
    <w:name w:val="page number"/>
    <w:basedOn w:val="a0"/>
    <w:rsid w:val="000474D0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jc w:val="left"/>
    </w:pPr>
    <w:rPr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default">
    <w:name w:val="default"/>
    <w:rsid w:val="00406623"/>
    <w:rPr>
      <w:rFonts w:ascii="Times New Roman" w:hAnsi="Times New Roman" w:cs="Times New Roman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0474D0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20">
    <w:name w:val="כותרת 2 תו"/>
    <w:basedOn w:val="a0"/>
    <w:link w:val="2"/>
    <w:rsid w:val="000474D0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0474D0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40">
    <w:name w:val="כותרת 4 תו"/>
    <w:basedOn w:val="a0"/>
    <w:link w:val="4"/>
    <w:uiPriority w:val="9"/>
    <w:rsid w:val="000474D0"/>
    <w:rPr>
      <w:rFonts w:ascii="David" w:eastAsiaTheme="minorHAnsi" w:hAnsi="David" w:cs="David"/>
      <w:b/>
      <w:bCs/>
      <w:color w:val="000000" w:themeColor="text1"/>
      <w:sz w:val="24"/>
      <w:szCs w:val="28"/>
    </w:rPr>
  </w:style>
  <w:style w:type="character" w:customStyle="1" w:styleId="50">
    <w:name w:val="כותרת 5 תו"/>
    <w:basedOn w:val="a0"/>
    <w:link w:val="5"/>
    <w:uiPriority w:val="9"/>
    <w:rsid w:val="000474D0"/>
    <w:rPr>
      <w:rFonts w:ascii="David" w:eastAsiaTheme="minorHAnsi" w:hAnsi="David" w:cs="David"/>
      <w:color w:val="000000" w:themeColor="text1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0474D0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0474D0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0474D0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0474D0"/>
    <w:rPr>
      <w:color w:val="0000FF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0474D0"/>
    <w:pPr>
      <w:tabs>
        <w:tab w:val="right" w:leader="dot" w:pos="9629"/>
      </w:tabs>
      <w:spacing w:after="100"/>
      <w:ind w:left="56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0474D0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0474D0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0474D0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0474D0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0474D0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0474D0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0474D0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0474D0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0474D0"/>
    <w:rPr>
      <w:rFonts w:eastAsia="Times New Roman"/>
    </w:rPr>
  </w:style>
  <w:style w:type="paragraph" w:styleId="ae">
    <w:name w:val="List Paragraph"/>
    <w:basedOn w:val="a"/>
    <w:uiPriority w:val="34"/>
    <w:qFormat/>
    <w:rsid w:val="000474D0"/>
    <w:pPr>
      <w:widowControl/>
      <w:spacing w:line="259" w:lineRule="auto"/>
    </w:pPr>
    <w:rPr>
      <w:rFonts w:asciiTheme="minorHAnsi" w:hAnsiTheme="minorHAnsi"/>
      <w:sz w:val="22"/>
    </w:rPr>
  </w:style>
  <w:style w:type="table" w:styleId="af">
    <w:name w:val="Table Grid"/>
    <w:basedOn w:val="a1"/>
    <w:rsid w:val="0004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0474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0474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0">
    <w:name w:val="טבלת חקיקה"/>
    <w:basedOn w:val="a1"/>
    <w:uiPriority w:val="99"/>
    <w:rsid w:val="000474D0"/>
    <w:pPr>
      <w:jc w:val="center"/>
    </w:pPr>
    <w:rPr>
      <w:rFonts w:cstheme="minorBidi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1">
    <w:name w:val="סגנון1"/>
    <w:basedOn w:val="a1"/>
    <w:uiPriority w:val="99"/>
    <w:rsid w:val="000474D0"/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4C23258-0D1C-4D95-A7C5-436B3B0EB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C577EC-EAB4-4E97-BE9B-F8EEFBBA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Hana Leidershnaider - Chamber Of Commerce</cp:lastModifiedBy>
  <cp:revision>2</cp:revision>
  <cp:lastPrinted>2018-03-13T13:09:00Z</cp:lastPrinted>
  <dcterms:created xsi:type="dcterms:W3CDTF">2018-07-19T12:39:00Z</dcterms:created>
  <dcterms:modified xsi:type="dcterms:W3CDTF">2018-07-19T12:39:00Z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2066442</vt:r8>
  </property>
</Properties>
</file>